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A2F6A89">
      <w:pPr>
        <w:spacing w:line="500" w:lineRule="exact"/>
        <w:jc w:val="center"/>
        <w:rPr>
          <w:rFonts w:hint="eastAsia" w:asciiTheme="minorEastAsia" w:hAnsiTheme="minorEastAsia" w:eastAsiaTheme="minorEastAsia"/>
          <w:b/>
          <w:bCs/>
          <w:sz w:val="32"/>
          <w:szCs w:val="32"/>
        </w:rPr>
      </w:pPr>
      <w:r>
        <w:rPr>
          <w:rFonts w:hint="eastAsia" w:asciiTheme="minorEastAsia" w:hAnsiTheme="minorEastAsia" w:eastAsiaTheme="minorEastAsia"/>
          <w:b/>
          <w:bCs/>
          <w:sz w:val="44"/>
          <w:szCs w:val="44"/>
        </w:rPr>
        <w:t>招标文件</w:t>
      </w:r>
    </w:p>
    <w:p w14:paraId="73FAAE5F">
      <w:pPr>
        <w:spacing w:line="460" w:lineRule="exact"/>
        <w:jc w:val="left"/>
        <w:rPr>
          <w:rFonts w:hint="eastAsia" w:ascii="仿宋" w:hAnsi="仿宋" w:eastAsia="仿宋"/>
          <w:sz w:val="28"/>
          <w:szCs w:val="28"/>
        </w:rPr>
      </w:pPr>
      <w:r>
        <w:rPr>
          <w:rFonts w:hint="eastAsia" w:ascii="仿宋" w:hAnsi="仿宋" w:eastAsia="仿宋"/>
          <w:sz w:val="28"/>
          <w:szCs w:val="28"/>
        </w:rPr>
        <w:t>各相关单位：</w:t>
      </w:r>
    </w:p>
    <w:p w14:paraId="0F69C11B">
      <w:pPr>
        <w:spacing w:line="460" w:lineRule="exact"/>
        <w:ind w:firstLine="560" w:firstLineChars="200"/>
        <w:jc w:val="left"/>
        <w:rPr>
          <w:rFonts w:hint="eastAsia" w:ascii="仿宋" w:hAnsi="仿宋" w:eastAsia="仿宋"/>
          <w:sz w:val="28"/>
          <w:szCs w:val="28"/>
        </w:rPr>
      </w:pPr>
      <w:r>
        <w:rPr>
          <w:rFonts w:hint="eastAsia" w:ascii="仿宋" w:hAnsi="仿宋" w:eastAsia="仿宋"/>
          <w:sz w:val="28"/>
          <w:szCs w:val="28"/>
        </w:rPr>
        <w:t>万基控股集团有限公司招标办公室拟对</w:t>
      </w:r>
      <w:r>
        <w:rPr>
          <w:rFonts w:hint="eastAsia" w:ascii="仿宋" w:hAnsi="仿宋" w:eastAsia="仿宋" w:cs="Times New Roman"/>
          <w:kern w:val="2"/>
          <w:sz w:val="28"/>
          <w:szCs w:val="28"/>
          <w:lang w:val="en-US" w:eastAsia="zh-CN" w:bidi="ar-SA"/>
        </w:rPr>
        <w:t>洛阳万基宏远电力有限公司能耗在线监测系统</w:t>
      </w:r>
      <w:r>
        <w:rPr>
          <w:rFonts w:hint="eastAsia" w:ascii="仿宋" w:hAnsi="仿宋" w:eastAsia="仿宋" w:cs="Times New Roman"/>
          <w:sz w:val="28"/>
          <w:szCs w:val="28"/>
          <w:lang w:val="en-US" w:eastAsia="zh-CN"/>
        </w:rPr>
        <w:t>项目</w:t>
      </w:r>
      <w:r>
        <w:rPr>
          <w:rFonts w:hint="eastAsia" w:ascii="仿宋" w:hAnsi="仿宋" w:eastAsia="仿宋"/>
          <w:sz w:val="28"/>
          <w:szCs w:val="28"/>
        </w:rPr>
        <w:t>进行招标【招标编号</w:t>
      </w:r>
      <w:bookmarkStart w:id="157" w:name="_GoBack"/>
      <w:bookmarkEnd w:id="157"/>
      <w:r>
        <w:rPr>
          <w:rFonts w:hint="eastAsia" w:ascii="仿宋" w:hAnsi="仿宋" w:eastAsia="仿宋"/>
          <w:sz w:val="28"/>
          <w:szCs w:val="28"/>
        </w:rPr>
        <w:t>：WJWZ-(2026)</w:t>
      </w:r>
      <w:r>
        <w:rPr>
          <w:rFonts w:hint="eastAsia" w:ascii="仿宋" w:hAnsi="仿宋" w:eastAsia="仿宋"/>
          <w:sz w:val="28"/>
          <w:szCs w:val="28"/>
          <w:lang w:val="en-US" w:eastAsia="zh-CN"/>
        </w:rPr>
        <w:t>03010</w:t>
      </w:r>
      <w:r>
        <w:rPr>
          <w:rFonts w:hint="eastAsia" w:ascii="仿宋" w:hAnsi="仿宋" w:eastAsia="仿宋"/>
          <w:sz w:val="28"/>
          <w:szCs w:val="28"/>
        </w:rPr>
        <w:t>】，有意参标单位请在202</w:t>
      </w:r>
      <w:r>
        <w:rPr>
          <w:rFonts w:hint="eastAsia" w:ascii="仿宋" w:hAnsi="仿宋" w:eastAsia="仿宋"/>
          <w:sz w:val="28"/>
          <w:szCs w:val="28"/>
          <w:lang w:val="en-US" w:eastAsia="zh-CN"/>
        </w:rPr>
        <w:t>6</w:t>
      </w:r>
      <w:r>
        <w:rPr>
          <w:rFonts w:hint="eastAsia" w:ascii="仿宋" w:hAnsi="仿宋" w:eastAsia="仿宋"/>
          <w:sz w:val="28"/>
          <w:szCs w:val="28"/>
        </w:rPr>
        <w:t>年</w:t>
      </w:r>
      <w:r>
        <w:rPr>
          <w:rFonts w:hint="eastAsia" w:ascii="仿宋" w:hAnsi="仿宋" w:eastAsia="仿宋"/>
          <w:sz w:val="28"/>
          <w:szCs w:val="28"/>
          <w:lang w:val="en-US" w:eastAsia="zh-CN"/>
        </w:rPr>
        <w:t>3</w:t>
      </w:r>
      <w:r>
        <w:rPr>
          <w:rFonts w:hint="eastAsia" w:ascii="仿宋" w:hAnsi="仿宋" w:eastAsia="仿宋"/>
          <w:sz w:val="28"/>
          <w:szCs w:val="28"/>
        </w:rPr>
        <w:t>月</w:t>
      </w:r>
      <w:r>
        <w:rPr>
          <w:rFonts w:hint="eastAsia" w:ascii="仿宋" w:hAnsi="仿宋" w:eastAsia="仿宋"/>
          <w:sz w:val="28"/>
          <w:szCs w:val="28"/>
          <w:lang w:val="en-US" w:eastAsia="zh-CN"/>
        </w:rPr>
        <w:t>13</w:t>
      </w:r>
      <w:r>
        <w:rPr>
          <w:rFonts w:hint="eastAsia" w:ascii="仿宋" w:hAnsi="仿宋" w:eastAsia="仿宋"/>
          <w:sz w:val="28"/>
          <w:szCs w:val="28"/>
        </w:rPr>
        <w:t>日12时前通过电话或邮件通知招标联系人，并按招标人要求的时间缴纳投标保证金。</w:t>
      </w:r>
      <w:r>
        <w:rPr>
          <w:rFonts w:hint="eastAsia" w:ascii="仿宋" w:hAnsi="仿宋" w:eastAsia="仿宋"/>
          <w:b/>
          <w:color w:val="FF0000"/>
          <w:sz w:val="28"/>
          <w:szCs w:val="28"/>
        </w:rPr>
        <w:t>不接受未通过资质预审、未按时缴纳投标保证金单位的投标文件</w:t>
      </w:r>
      <w:r>
        <w:rPr>
          <w:rFonts w:hint="eastAsia" w:ascii="仿宋" w:hAnsi="仿宋" w:eastAsia="仿宋"/>
          <w:b/>
          <w:sz w:val="28"/>
          <w:szCs w:val="28"/>
        </w:rPr>
        <w:t>。</w:t>
      </w:r>
    </w:p>
    <w:p w14:paraId="1DFA5132">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 xml:space="preserve">投标人在本次投标中若发现违规违纪问题可直接向招标单位纪委举报，举报电话：0379-67333039。 </w:t>
      </w:r>
    </w:p>
    <w:p w14:paraId="656D08E2">
      <w:pPr>
        <w:autoSpaceDE w:val="0"/>
        <w:autoSpaceDN w:val="0"/>
        <w:spacing w:line="460" w:lineRule="exact"/>
        <w:ind w:firstLine="560" w:firstLineChars="200"/>
        <w:rPr>
          <w:rFonts w:hint="eastAsia" w:ascii="仿宋" w:hAnsi="仿宋" w:eastAsia="仿宋"/>
          <w:sz w:val="28"/>
          <w:szCs w:val="28"/>
        </w:rPr>
      </w:pPr>
      <w:r>
        <w:rPr>
          <w:rFonts w:hint="eastAsia" w:ascii="仿宋" w:hAnsi="仿宋" w:eastAsia="仿宋"/>
          <w:sz w:val="28"/>
          <w:szCs w:val="28"/>
        </w:rPr>
        <w:t>开标时间：</w:t>
      </w:r>
      <w:r>
        <w:rPr>
          <w:rFonts w:hint="eastAsia" w:ascii="仿宋" w:hAnsi="仿宋" w:eastAsia="仿宋"/>
          <w:b/>
          <w:color w:val="FF0000"/>
          <w:sz w:val="28"/>
          <w:szCs w:val="28"/>
        </w:rPr>
        <w:t>202</w:t>
      </w:r>
      <w:r>
        <w:rPr>
          <w:rFonts w:hint="eastAsia" w:ascii="仿宋" w:hAnsi="仿宋" w:eastAsia="仿宋"/>
          <w:b/>
          <w:color w:val="FF0000"/>
          <w:sz w:val="28"/>
          <w:szCs w:val="28"/>
          <w:lang w:val="en-US" w:eastAsia="zh-CN"/>
        </w:rPr>
        <w:t>6</w:t>
      </w:r>
      <w:r>
        <w:rPr>
          <w:rFonts w:hint="eastAsia" w:ascii="仿宋" w:hAnsi="仿宋" w:eastAsia="仿宋"/>
          <w:b/>
          <w:color w:val="FF0000"/>
          <w:sz w:val="28"/>
          <w:szCs w:val="28"/>
        </w:rPr>
        <w:t>年</w:t>
      </w:r>
      <w:r>
        <w:rPr>
          <w:rFonts w:hint="eastAsia" w:ascii="仿宋" w:hAnsi="仿宋" w:eastAsia="仿宋"/>
          <w:b/>
          <w:color w:val="FF0000"/>
          <w:sz w:val="28"/>
          <w:szCs w:val="28"/>
          <w:lang w:val="en-US" w:eastAsia="zh-CN"/>
        </w:rPr>
        <w:t>3</w:t>
      </w:r>
      <w:r>
        <w:rPr>
          <w:rFonts w:hint="eastAsia" w:ascii="仿宋" w:hAnsi="仿宋" w:eastAsia="仿宋"/>
          <w:b/>
          <w:color w:val="FF0000"/>
          <w:sz w:val="28"/>
          <w:szCs w:val="28"/>
        </w:rPr>
        <w:t>月</w:t>
      </w:r>
      <w:r>
        <w:rPr>
          <w:rFonts w:hint="eastAsia" w:ascii="仿宋" w:hAnsi="仿宋" w:eastAsia="仿宋"/>
          <w:b/>
          <w:color w:val="FF0000"/>
          <w:sz w:val="28"/>
          <w:szCs w:val="28"/>
          <w:lang w:val="en-US" w:eastAsia="zh-CN"/>
        </w:rPr>
        <w:t>13</w:t>
      </w:r>
      <w:r>
        <w:rPr>
          <w:rFonts w:hint="eastAsia" w:ascii="仿宋" w:hAnsi="仿宋" w:eastAsia="仿宋"/>
          <w:b/>
          <w:color w:val="FF0000"/>
          <w:sz w:val="28"/>
          <w:szCs w:val="28"/>
        </w:rPr>
        <w:t>日下午15:00（北京时间</w:t>
      </w:r>
      <w:r>
        <w:rPr>
          <w:rFonts w:hint="eastAsia" w:ascii="仿宋" w:hAnsi="仿宋" w:eastAsia="仿宋"/>
          <w:color w:val="FF0000"/>
          <w:sz w:val="28"/>
          <w:szCs w:val="28"/>
        </w:rPr>
        <w:t>）</w:t>
      </w:r>
    </w:p>
    <w:p w14:paraId="22FAA197">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开标地点：洛阳市新安县产业集聚区万基大厦四楼开标室</w:t>
      </w:r>
    </w:p>
    <w:p w14:paraId="0415EF62">
      <w:pPr>
        <w:spacing w:line="460" w:lineRule="exact"/>
        <w:ind w:firstLine="560" w:firstLineChars="200"/>
        <w:rPr>
          <w:rFonts w:hint="eastAsia" w:ascii="仿宋" w:hAnsi="仿宋" w:eastAsia="仿宋"/>
          <w:sz w:val="28"/>
          <w:szCs w:val="28"/>
        </w:rPr>
      </w:pPr>
      <w:r>
        <w:rPr>
          <w:rFonts w:hint="eastAsia" w:ascii="仿宋" w:hAnsi="仿宋" w:eastAsia="仿宋" w:cs="仿宋_GB2312"/>
          <w:sz w:val="28"/>
          <w:szCs w:val="28"/>
        </w:rPr>
        <w:t>资质审验及报名截止时间：</w:t>
      </w:r>
      <w:r>
        <w:rPr>
          <w:rFonts w:hint="eastAsia" w:ascii="仿宋" w:hAnsi="仿宋" w:eastAsia="仿宋" w:cs="仿宋_GB2312"/>
          <w:b/>
          <w:color w:val="FF0000"/>
          <w:sz w:val="28"/>
          <w:szCs w:val="28"/>
        </w:rPr>
        <w:t>202</w:t>
      </w:r>
      <w:r>
        <w:rPr>
          <w:rFonts w:hint="eastAsia" w:ascii="仿宋" w:hAnsi="仿宋" w:eastAsia="仿宋" w:cs="仿宋_GB2312"/>
          <w:b/>
          <w:color w:val="FF0000"/>
          <w:sz w:val="28"/>
          <w:szCs w:val="28"/>
          <w:lang w:val="en-US" w:eastAsia="zh-CN"/>
        </w:rPr>
        <w:t>6</w:t>
      </w:r>
      <w:r>
        <w:rPr>
          <w:rFonts w:hint="eastAsia" w:ascii="仿宋" w:hAnsi="仿宋" w:eastAsia="仿宋" w:cs="仿宋_GB2312"/>
          <w:b/>
          <w:color w:val="FF0000"/>
          <w:sz w:val="28"/>
          <w:szCs w:val="28"/>
        </w:rPr>
        <w:t>年</w:t>
      </w:r>
      <w:r>
        <w:rPr>
          <w:rFonts w:hint="eastAsia" w:ascii="仿宋" w:hAnsi="仿宋" w:eastAsia="仿宋" w:cs="仿宋_GB2312"/>
          <w:b/>
          <w:color w:val="FF0000"/>
          <w:sz w:val="28"/>
          <w:szCs w:val="28"/>
          <w:lang w:val="en-US" w:eastAsia="zh-CN"/>
        </w:rPr>
        <w:t>3</w:t>
      </w:r>
      <w:r>
        <w:rPr>
          <w:rFonts w:hint="eastAsia" w:ascii="仿宋" w:hAnsi="仿宋" w:eastAsia="仿宋" w:cs="仿宋_GB2312"/>
          <w:b/>
          <w:color w:val="FF0000"/>
          <w:sz w:val="28"/>
          <w:szCs w:val="28"/>
        </w:rPr>
        <w:t>月</w:t>
      </w:r>
      <w:r>
        <w:rPr>
          <w:rFonts w:hint="eastAsia" w:ascii="仿宋" w:hAnsi="仿宋" w:eastAsia="仿宋" w:cs="仿宋_GB2312"/>
          <w:b/>
          <w:color w:val="FF0000"/>
          <w:sz w:val="28"/>
          <w:szCs w:val="28"/>
          <w:lang w:val="en-US" w:eastAsia="zh-CN"/>
        </w:rPr>
        <w:t>13</w:t>
      </w:r>
      <w:r>
        <w:rPr>
          <w:rFonts w:hint="eastAsia" w:ascii="仿宋" w:hAnsi="仿宋" w:eastAsia="仿宋" w:cs="仿宋_GB2312"/>
          <w:b/>
          <w:color w:val="FF0000"/>
          <w:sz w:val="28"/>
          <w:szCs w:val="28"/>
        </w:rPr>
        <w:t>日上午12:00时</w:t>
      </w:r>
    </w:p>
    <w:p w14:paraId="1BF68E7B">
      <w:pPr>
        <w:spacing w:line="46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rPr>
        <w:t>招标：</w:t>
      </w:r>
      <w:r>
        <w:rPr>
          <w:rFonts w:hint="eastAsia" w:ascii="仿宋" w:hAnsi="仿宋" w:eastAsia="仿宋"/>
          <w:sz w:val="28"/>
          <w:szCs w:val="28"/>
          <w:lang w:val="en-US" w:eastAsia="zh-CN"/>
        </w:rPr>
        <w:t>郭帅</w:t>
      </w:r>
      <w:r>
        <w:rPr>
          <w:rFonts w:ascii="仿宋" w:hAnsi="仿宋" w:eastAsia="仿宋"/>
          <w:sz w:val="28"/>
          <w:szCs w:val="28"/>
        </w:rPr>
        <w:t xml:space="preserve"> </w:t>
      </w:r>
      <w:r>
        <w:rPr>
          <w:rFonts w:hint="eastAsia" w:ascii="仿宋" w:hAnsi="仿宋" w:eastAsia="仿宋"/>
          <w:sz w:val="28"/>
          <w:szCs w:val="28"/>
          <w:lang w:val="en-US" w:eastAsia="zh-CN"/>
        </w:rPr>
        <w:t>158 0379 9052</w:t>
      </w:r>
      <w:r>
        <w:rPr>
          <w:rFonts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技术：</w:t>
      </w:r>
      <w:r>
        <w:rPr>
          <w:rFonts w:hint="eastAsia" w:ascii="仿宋" w:hAnsi="仿宋" w:eastAsia="仿宋"/>
          <w:sz w:val="28"/>
          <w:szCs w:val="28"/>
          <w:lang w:val="en-US" w:eastAsia="zh-CN"/>
        </w:rPr>
        <w:t>柴阿吉</w:t>
      </w:r>
      <w:r>
        <w:rPr>
          <w:rFonts w:hint="eastAsia" w:ascii="仿宋" w:hAnsi="仿宋" w:eastAsia="仿宋"/>
          <w:sz w:val="28"/>
          <w:szCs w:val="28"/>
        </w:rPr>
        <w:t xml:space="preserve">  136</w:t>
      </w:r>
      <w:r>
        <w:rPr>
          <w:rFonts w:hint="eastAsia" w:ascii="仿宋" w:hAnsi="仿宋" w:eastAsia="仿宋"/>
          <w:sz w:val="28"/>
          <w:szCs w:val="28"/>
          <w:lang w:val="en-US" w:eastAsia="zh-CN"/>
        </w:rPr>
        <w:t xml:space="preserve"> </w:t>
      </w:r>
      <w:r>
        <w:rPr>
          <w:rFonts w:hint="eastAsia" w:ascii="仿宋" w:hAnsi="仿宋" w:eastAsia="仿宋"/>
          <w:sz w:val="28"/>
          <w:szCs w:val="28"/>
        </w:rPr>
        <w:t>9380</w:t>
      </w:r>
      <w:r>
        <w:rPr>
          <w:rFonts w:hint="eastAsia" w:ascii="仿宋" w:hAnsi="仿宋" w:eastAsia="仿宋"/>
          <w:sz w:val="28"/>
          <w:szCs w:val="28"/>
          <w:lang w:val="en-US" w:eastAsia="zh-CN"/>
        </w:rPr>
        <w:t xml:space="preserve"> </w:t>
      </w:r>
      <w:r>
        <w:rPr>
          <w:rFonts w:hint="eastAsia" w:ascii="仿宋" w:hAnsi="仿宋" w:eastAsia="仿宋"/>
          <w:sz w:val="28"/>
          <w:szCs w:val="28"/>
        </w:rPr>
        <w:t>5623</w:t>
      </w:r>
    </w:p>
    <w:p w14:paraId="05B7CD20">
      <w:pPr>
        <w:spacing w:line="460" w:lineRule="exact"/>
        <w:rPr>
          <w:rFonts w:hint="eastAsia" w:ascii="仿宋" w:hAnsi="仿宋" w:eastAsia="仿宋"/>
          <w:b/>
          <w:bCs/>
          <w:sz w:val="28"/>
          <w:szCs w:val="28"/>
        </w:rPr>
      </w:pPr>
      <w:r>
        <w:rPr>
          <w:rFonts w:hint="eastAsia" w:ascii="仿宋" w:hAnsi="仿宋" w:eastAsia="仿宋"/>
          <w:b/>
          <w:bCs/>
          <w:sz w:val="28"/>
          <w:szCs w:val="28"/>
        </w:rPr>
        <w:t>一、投标须知</w:t>
      </w:r>
    </w:p>
    <w:p w14:paraId="58C94725">
      <w:pPr>
        <w:spacing w:line="460" w:lineRule="exact"/>
        <w:ind w:firstLine="560" w:firstLineChars="200"/>
        <w:rPr>
          <w:rFonts w:hint="eastAsia" w:ascii="仿宋" w:hAnsi="仿宋" w:eastAsia="仿宋"/>
          <w:color w:val="000000"/>
          <w:sz w:val="28"/>
          <w:szCs w:val="28"/>
        </w:rPr>
      </w:pPr>
      <w:r>
        <w:rPr>
          <w:rFonts w:hint="eastAsia" w:ascii="仿宋" w:hAnsi="仿宋" w:eastAsia="仿宋"/>
          <w:sz w:val="28"/>
          <w:szCs w:val="28"/>
        </w:rPr>
        <w:t>1、招标方式：公开招标。</w:t>
      </w:r>
      <w:r>
        <w:rPr>
          <w:rFonts w:hint="eastAsia" w:ascii="仿宋" w:hAnsi="仿宋" w:eastAsia="仿宋"/>
          <w:b/>
          <w:color w:val="FF0000"/>
          <w:sz w:val="28"/>
          <w:szCs w:val="28"/>
        </w:rPr>
        <w:t>本次招标采用一次性报价、现场开标</w:t>
      </w:r>
      <w:r>
        <w:rPr>
          <w:rFonts w:hint="eastAsia" w:ascii="仿宋" w:hAnsi="仿宋" w:eastAsia="仿宋"/>
          <w:color w:val="000000"/>
          <w:sz w:val="28"/>
          <w:szCs w:val="28"/>
        </w:rPr>
        <w:t>的方式开标。参与投标，视同完全响应招标文件。</w:t>
      </w:r>
    </w:p>
    <w:p w14:paraId="2E47AB15">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投标人应编制投标文件正本1份和副本</w:t>
      </w:r>
      <w:r>
        <w:rPr>
          <w:rFonts w:hint="eastAsia" w:ascii="仿宋" w:hAnsi="仿宋" w:eastAsia="仿宋"/>
          <w:sz w:val="28"/>
          <w:szCs w:val="28"/>
          <w:lang w:val="en-US" w:eastAsia="zh-CN"/>
        </w:rPr>
        <w:t>2</w:t>
      </w:r>
      <w:r>
        <w:rPr>
          <w:rFonts w:hint="eastAsia" w:ascii="仿宋" w:hAnsi="仿宋" w:eastAsia="仿宋"/>
          <w:sz w:val="28"/>
          <w:szCs w:val="28"/>
        </w:rPr>
        <w:t>份，每套投标文件须清楚地标明“正本”或“副本”。若正本和副本不符，以正本为准。</w:t>
      </w:r>
      <w:r>
        <w:rPr>
          <w:rFonts w:hint="eastAsia" w:ascii="仿宋" w:hAnsi="仿宋" w:eastAsia="仿宋"/>
          <w:b/>
          <w:bCs/>
          <w:color w:val="FF0000"/>
          <w:sz w:val="28"/>
          <w:szCs w:val="28"/>
          <w:u w:val="single"/>
        </w:rPr>
        <w:t>详细分项报价</w:t>
      </w:r>
      <w:r>
        <w:rPr>
          <w:rFonts w:hint="eastAsia" w:ascii="仿宋" w:hAnsi="仿宋" w:eastAsia="仿宋"/>
          <w:sz w:val="28"/>
          <w:szCs w:val="28"/>
        </w:rPr>
        <w:t>做入投标文件商务卷；</w:t>
      </w:r>
      <w:r>
        <w:rPr>
          <w:rFonts w:hint="eastAsia" w:ascii="仿宋" w:hAnsi="仿宋" w:eastAsia="仿宋"/>
          <w:b/>
          <w:color w:val="FF0000"/>
          <w:sz w:val="28"/>
          <w:szCs w:val="28"/>
          <w:u w:val="single"/>
        </w:rPr>
        <w:t>投标报价单</w:t>
      </w:r>
      <w:r>
        <w:rPr>
          <w:rFonts w:hint="eastAsia" w:ascii="仿宋" w:hAnsi="仿宋" w:eastAsia="仿宋"/>
          <w:b/>
          <w:color w:val="FF0000"/>
          <w:sz w:val="28"/>
          <w:szCs w:val="28"/>
        </w:rPr>
        <w:t>（见附件）</w:t>
      </w:r>
      <w:r>
        <w:rPr>
          <w:rFonts w:hint="eastAsia" w:ascii="仿宋" w:hAnsi="仿宋" w:eastAsia="仿宋"/>
          <w:sz w:val="28"/>
          <w:szCs w:val="28"/>
        </w:rPr>
        <w:t>请</w:t>
      </w:r>
      <w:r>
        <w:rPr>
          <w:rFonts w:hint="eastAsia" w:ascii="仿宋" w:hAnsi="仿宋" w:eastAsia="仿宋"/>
          <w:b/>
          <w:color w:val="FF0000"/>
          <w:sz w:val="28"/>
          <w:szCs w:val="28"/>
          <w:u w:val="single"/>
        </w:rPr>
        <w:t>单独用档案袋密封</w:t>
      </w:r>
      <w:r>
        <w:rPr>
          <w:rFonts w:hint="eastAsia" w:ascii="仿宋" w:hAnsi="仿宋" w:eastAsia="仿宋"/>
          <w:sz w:val="28"/>
          <w:szCs w:val="28"/>
        </w:rPr>
        <w:t>，便于唱标。</w:t>
      </w:r>
    </w:p>
    <w:p w14:paraId="00523658">
      <w:pPr>
        <w:spacing w:line="460" w:lineRule="exact"/>
        <w:ind w:left="412" w:firstLine="14" w:firstLineChars="5"/>
        <w:rPr>
          <w:rFonts w:hint="eastAsia" w:ascii="仿宋" w:hAnsi="仿宋" w:eastAsia="仿宋" w:cs="仿宋"/>
          <w:color w:val="000000"/>
          <w:sz w:val="28"/>
          <w:szCs w:val="28"/>
        </w:rPr>
      </w:pPr>
      <w:r>
        <w:rPr>
          <w:rFonts w:ascii="仿宋" w:hAnsi="仿宋" w:eastAsia="仿宋"/>
          <w:sz w:val="28"/>
          <w:szCs w:val="28"/>
        </w:rPr>
        <w:t>2</w:t>
      </w:r>
      <w:r>
        <w:rPr>
          <w:rFonts w:hint="eastAsia" w:ascii="仿宋" w:hAnsi="仿宋" w:eastAsia="仿宋"/>
          <w:sz w:val="28"/>
          <w:szCs w:val="28"/>
        </w:rPr>
        <w:t>、资质要求（详见技术要求）：</w:t>
      </w:r>
    </w:p>
    <w:p w14:paraId="12FD0609">
      <w:pPr>
        <w:spacing w:line="460" w:lineRule="exact"/>
        <w:ind w:left="412" w:firstLine="14" w:firstLineChars="5"/>
        <w:rPr>
          <w:rFonts w:hint="eastAsia" w:ascii="仿宋" w:hAnsi="仿宋" w:eastAsia="仿宋" w:cs="Times New Roman"/>
          <w:sz w:val="28"/>
          <w:szCs w:val="28"/>
          <w:lang w:val="en-US" w:eastAsia="zh-CN"/>
        </w:rPr>
      </w:pPr>
      <w:r>
        <w:rPr>
          <w:rFonts w:ascii="仿宋" w:hAnsi="仿宋" w:eastAsia="仿宋" w:cs="Times New Roman"/>
          <w:sz w:val="28"/>
          <w:szCs w:val="28"/>
        </w:rPr>
        <w:t>1</w:t>
      </w:r>
      <w:r>
        <w:rPr>
          <w:rFonts w:hint="eastAsia" w:ascii="仿宋" w:hAnsi="仿宋" w:eastAsia="仿宋" w:cs="Times New Roman"/>
          <w:sz w:val="28"/>
          <w:szCs w:val="28"/>
        </w:rPr>
        <w:t>）</w:t>
      </w:r>
      <w:r>
        <w:rPr>
          <w:rFonts w:hint="eastAsia" w:ascii="仿宋" w:hAnsi="仿宋" w:eastAsia="仿宋" w:cs="Times New Roman"/>
          <w:sz w:val="28"/>
          <w:szCs w:val="28"/>
          <w:lang w:eastAsia="zh-CN"/>
        </w:rPr>
        <w:t>、</w:t>
      </w:r>
      <w:r>
        <w:rPr>
          <w:rFonts w:hint="eastAsia" w:ascii="仿宋" w:hAnsi="仿宋" w:eastAsia="仿宋" w:cs="Times New Roman"/>
          <w:sz w:val="28"/>
          <w:szCs w:val="28"/>
          <w:lang w:val="en-US" w:eastAsia="zh-CN"/>
        </w:rPr>
        <w:t>具有独立订立合同的权利和履行合同的能力，依法取得营业执照，营业执照处于有效期，营业执照、税务登记证、组织机构代码证三证齐全。为增值税一般纳税人，在近三年参加的其他采购活动中，没有违法记录。</w:t>
      </w:r>
    </w:p>
    <w:p w14:paraId="12C83E6C">
      <w:pPr>
        <w:pStyle w:val="76"/>
        <w:spacing w:line="460" w:lineRule="exact"/>
        <w:ind w:left="210" w:leftChars="100" w:firstLine="280" w:firstLineChars="100"/>
        <w:rPr>
          <w:rFonts w:ascii="仿宋" w:hAnsi="仿宋" w:eastAsia="仿宋" w:cs="仿宋"/>
          <w:bCs/>
          <w:sz w:val="28"/>
          <w:szCs w:val="28"/>
        </w:rPr>
      </w:pPr>
      <w:r>
        <w:rPr>
          <w:rFonts w:hint="eastAsia" w:ascii="仿宋" w:hAnsi="仿宋" w:eastAsia="仿宋"/>
          <w:sz w:val="28"/>
          <w:szCs w:val="28"/>
          <w:lang w:val="en-US" w:eastAsia="zh-CN"/>
        </w:rPr>
        <w:t>2</w:t>
      </w:r>
      <w:r>
        <w:rPr>
          <w:rFonts w:hint="eastAsia" w:ascii="仿宋" w:hAnsi="仿宋" w:eastAsia="仿宋"/>
          <w:sz w:val="28"/>
          <w:szCs w:val="28"/>
        </w:rPr>
        <w:t>）</w:t>
      </w:r>
      <w:r>
        <w:rPr>
          <w:rFonts w:hint="eastAsia" w:ascii="仿宋" w:hAnsi="仿宋" w:eastAsia="仿宋" w:cs="仿宋"/>
          <w:bCs/>
          <w:sz w:val="28"/>
          <w:szCs w:val="28"/>
        </w:rPr>
        <w:t>投标</w:t>
      </w:r>
      <w:r>
        <w:rPr>
          <w:rFonts w:hint="eastAsia" w:ascii="仿宋" w:hAnsi="仿宋" w:eastAsia="仿宋" w:cs="仿宋"/>
          <w:bCs/>
          <w:sz w:val="28"/>
          <w:szCs w:val="28"/>
          <w:lang w:val="en-US" w:eastAsia="zh-CN"/>
        </w:rPr>
        <w:t>方</w:t>
      </w:r>
      <w:r>
        <w:rPr>
          <w:rFonts w:hint="eastAsia" w:ascii="仿宋" w:hAnsi="仿宋" w:eastAsia="仿宋" w:cs="仿宋"/>
          <w:bCs/>
          <w:sz w:val="28"/>
          <w:szCs w:val="28"/>
        </w:rPr>
        <w:t>须取</w:t>
      </w:r>
      <w:r>
        <w:rPr>
          <w:rFonts w:hint="eastAsia" w:ascii="仿宋" w:hAnsi="仿宋" w:eastAsia="仿宋" w:cs="仿宋"/>
          <w:bCs/>
          <w:sz w:val="28"/>
          <w:szCs w:val="28"/>
          <w:lang w:val="en-US" w:eastAsia="zh-CN"/>
        </w:rPr>
        <w:t>得</w:t>
      </w:r>
      <w:r>
        <w:rPr>
          <w:rFonts w:hint="default" w:ascii="仿宋" w:hAnsi="仿宋" w:eastAsia="仿宋" w:cs="仿宋"/>
          <w:bCs/>
          <w:sz w:val="28"/>
          <w:szCs w:val="28"/>
          <w:lang w:val="en-US" w:eastAsia="zh-CN"/>
        </w:rPr>
        <w:t>承装(修、试)电力设施五级许可证</w:t>
      </w:r>
      <w:r>
        <w:rPr>
          <w:rFonts w:hint="eastAsia" w:ascii="仿宋" w:hAnsi="仿宋" w:eastAsia="仿宋" w:cs="仿宋"/>
          <w:bCs/>
          <w:sz w:val="28"/>
          <w:szCs w:val="28"/>
        </w:rPr>
        <w:t>；有效的且符合本专业要求的安全体系认证、质量体系认证证书、环保体系认证及安全生产许可证；如果国家有强制性要求的资质文件，参标单位必须提供。</w:t>
      </w:r>
    </w:p>
    <w:p w14:paraId="73424F8E">
      <w:pPr>
        <w:spacing w:line="360" w:lineRule="auto"/>
        <w:ind w:firstLine="560" w:firstLineChars="200"/>
        <w:rPr>
          <w:rFonts w:hint="eastAsia" w:ascii="仿宋" w:hAnsi="仿宋" w:eastAsia="仿宋" w:cs="Times New Roman"/>
          <w:sz w:val="28"/>
          <w:szCs w:val="28"/>
          <w:lang w:val="en-US" w:eastAsia="zh-CN"/>
        </w:rPr>
      </w:pPr>
    </w:p>
    <w:p w14:paraId="1FC523F9">
      <w:pPr>
        <w:spacing w:line="460" w:lineRule="exact"/>
        <w:ind w:firstLine="480" w:firstLineChars="200"/>
        <w:jc w:val="left"/>
        <w:rPr>
          <w:rFonts w:hint="eastAsia" w:ascii="仿宋" w:hAnsi="仿宋" w:eastAsia="仿宋" w:cs="Times New Roman"/>
          <w:color w:val="000000"/>
          <w:spacing w:val="-20"/>
          <w:sz w:val="28"/>
          <w:szCs w:val="28"/>
          <w:lang w:val="en-US" w:eastAsia="zh-CN"/>
        </w:rPr>
      </w:pPr>
      <w:r>
        <w:rPr>
          <w:rFonts w:hint="eastAsia" w:ascii="仿宋" w:hAnsi="仿宋" w:eastAsia="仿宋" w:cs="Times New Roman"/>
          <w:color w:val="000000"/>
          <w:spacing w:val="-20"/>
          <w:sz w:val="28"/>
          <w:szCs w:val="28"/>
          <w:lang w:val="en-US" w:eastAsia="zh-CN"/>
        </w:rPr>
        <w:t>3）、采用的端设备应符合NHJC-04-2018《端设备接口协议规范》，NHJC-08-2018《系统安全规范》以及相关等级保护、安全防护等规范要求，同时应具有ISCCC中国国家信息安全产品认证证书及计算机系统安全专用产品销售许可证；</w:t>
      </w:r>
    </w:p>
    <w:p w14:paraId="183C4C83">
      <w:pPr>
        <w:spacing w:line="460" w:lineRule="exact"/>
        <w:ind w:firstLine="560" w:firstLineChars="200"/>
        <w:jc w:val="left"/>
        <w:rPr>
          <w:rFonts w:hint="eastAsia" w:ascii="仿宋" w:hAnsi="仿宋" w:eastAsia="仿宋" w:cs="Times New Roman"/>
          <w:color w:val="000000"/>
          <w:spacing w:val="-20"/>
          <w:sz w:val="28"/>
          <w:szCs w:val="28"/>
          <w:lang w:val="en-US" w:eastAsia="zh-CN"/>
        </w:rPr>
      </w:pPr>
      <w:r>
        <w:rPr>
          <w:rFonts w:hint="eastAsia" w:ascii="仿宋" w:hAnsi="仿宋" w:eastAsia="仿宋" w:cs="仿宋"/>
          <w:bCs/>
          <w:sz w:val="28"/>
          <w:szCs w:val="28"/>
          <w:lang w:val="en-US" w:eastAsia="zh-CN"/>
        </w:rPr>
        <w:t>4）</w:t>
      </w:r>
      <w:r>
        <w:rPr>
          <w:rFonts w:hint="eastAsia" w:ascii="仿宋" w:hAnsi="仿宋" w:eastAsia="仿宋" w:cs="仿宋"/>
          <w:bCs/>
          <w:sz w:val="28"/>
          <w:szCs w:val="28"/>
        </w:rPr>
        <w:t>投标方提供近</w:t>
      </w:r>
      <w:r>
        <w:rPr>
          <w:rFonts w:hint="eastAsia" w:ascii="仿宋" w:hAnsi="仿宋" w:eastAsia="仿宋" w:cs="仿宋"/>
          <w:bCs/>
          <w:sz w:val="28"/>
          <w:szCs w:val="28"/>
          <w:lang w:val="en-US" w:eastAsia="zh-CN"/>
        </w:rPr>
        <w:t>三</w:t>
      </w:r>
      <w:r>
        <w:rPr>
          <w:rFonts w:hint="eastAsia" w:ascii="仿宋" w:hAnsi="仿宋" w:eastAsia="仿宋" w:cs="仿宋"/>
          <w:bCs/>
          <w:sz w:val="28"/>
          <w:szCs w:val="28"/>
        </w:rPr>
        <w:t>年间至少</w:t>
      </w:r>
      <w:r>
        <w:rPr>
          <w:rFonts w:hint="eastAsia" w:ascii="仿宋" w:hAnsi="仿宋" w:eastAsia="仿宋" w:cs="仿宋"/>
          <w:bCs/>
          <w:sz w:val="28"/>
          <w:szCs w:val="28"/>
          <w:lang w:val="en-US" w:eastAsia="zh-CN"/>
        </w:rPr>
        <w:t>2套</w:t>
      </w:r>
      <w:r>
        <w:rPr>
          <w:rFonts w:hint="eastAsia" w:ascii="仿宋" w:hAnsi="仿宋" w:eastAsia="仿宋" w:cs="仿宋"/>
          <w:bCs/>
          <w:sz w:val="28"/>
          <w:szCs w:val="28"/>
        </w:rPr>
        <w:t>及以上</w:t>
      </w:r>
      <w:r>
        <w:rPr>
          <w:rFonts w:hint="eastAsia" w:ascii="仿宋" w:hAnsi="仿宋" w:eastAsia="仿宋" w:cs="仿宋"/>
          <w:bCs/>
          <w:sz w:val="28"/>
          <w:szCs w:val="28"/>
          <w:lang w:val="en-US" w:eastAsia="zh-CN"/>
        </w:rPr>
        <w:t>在线检测系统</w:t>
      </w:r>
      <w:r>
        <w:rPr>
          <w:rFonts w:hint="eastAsia" w:ascii="仿宋" w:hAnsi="仿宋" w:eastAsia="仿宋" w:cs="仿宋"/>
          <w:bCs/>
          <w:sz w:val="28"/>
          <w:szCs w:val="28"/>
        </w:rPr>
        <w:t>证明性材料（以合同为准,</w:t>
      </w:r>
      <w:r>
        <w:rPr>
          <w:rFonts w:hint="eastAsia" w:ascii="仿宋" w:hAnsi="仿宋" w:eastAsia="仿宋" w:cs="仿宋"/>
          <w:b/>
          <w:bCs/>
          <w:color w:val="FF0000"/>
          <w:sz w:val="28"/>
          <w:szCs w:val="28"/>
        </w:rPr>
        <w:t xml:space="preserve"> 列出业绩明细目录，</w:t>
      </w:r>
      <w:r>
        <w:rPr>
          <w:rFonts w:hint="eastAsia" w:ascii="仿宋" w:hAnsi="仿宋" w:eastAsia="仿宋" w:cs="仿宋"/>
          <w:bCs/>
          <w:sz w:val="28"/>
          <w:szCs w:val="28"/>
        </w:rPr>
        <w:t>并提供联系人及联系方式，所有业绩均须在投标文件中提供合同关键页扫描件）</w:t>
      </w:r>
    </w:p>
    <w:p w14:paraId="01394198">
      <w:pPr>
        <w:spacing w:line="460" w:lineRule="exact"/>
        <w:ind w:firstLine="560" w:firstLineChars="200"/>
        <w:jc w:val="left"/>
        <w:rPr>
          <w:rFonts w:hint="eastAsia" w:ascii="仿宋" w:hAnsi="仿宋" w:eastAsia="仿宋"/>
          <w:color w:val="000000"/>
          <w:spacing w:val="-20"/>
          <w:sz w:val="28"/>
          <w:szCs w:val="28"/>
        </w:rPr>
      </w:pPr>
      <w:r>
        <w:rPr>
          <w:rFonts w:ascii="仿宋" w:hAnsi="仿宋" w:eastAsia="仿宋" w:cs="仿宋"/>
          <w:sz w:val="28"/>
          <w:szCs w:val="28"/>
        </w:rPr>
        <w:t>3</w:t>
      </w:r>
      <w:r>
        <w:rPr>
          <w:rFonts w:hint="eastAsia" w:ascii="仿宋" w:hAnsi="仿宋" w:eastAsia="仿宋" w:cs="仿宋"/>
          <w:sz w:val="28"/>
          <w:szCs w:val="28"/>
        </w:rPr>
        <w:t>、</w:t>
      </w:r>
      <w:r>
        <w:rPr>
          <w:rFonts w:hint="eastAsia" w:ascii="仿宋" w:hAnsi="仿宋" w:eastAsia="仿宋"/>
          <w:color w:val="000000"/>
          <w:spacing w:val="-20"/>
          <w:sz w:val="28"/>
          <w:szCs w:val="28"/>
        </w:rPr>
        <w:t>资质审查：</w:t>
      </w:r>
      <w:r>
        <w:rPr>
          <w:rFonts w:hint="eastAsia" w:ascii="仿宋" w:hAnsi="仿宋" w:eastAsia="仿宋" w:cs="仿宋_GB2312"/>
          <w:spacing w:val="-20"/>
          <w:sz w:val="28"/>
          <w:szCs w:val="28"/>
        </w:rPr>
        <w:t>本次招标资质审查方式采用资质预审加后审方式进行：</w:t>
      </w:r>
    </w:p>
    <w:p w14:paraId="0C961DD8">
      <w:pPr>
        <w:spacing w:line="460" w:lineRule="exact"/>
        <w:ind w:firstLine="560" w:firstLineChars="200"/>
        <w:rPr>
          <w:rFonts w:hint="eastAsia" w:ascii="仿宋" w:hAnsi="仿宋" w:eastAsia="仿宋"/>
          <w:spacing w:val="-20"/>
          <w:sz w:val="28"/>
          <w:szCs w:val="28"/>
        </w:rPr>
      </w:pPr>
      <w:r>
        <w:rPr>
          <w:rFonts w:ascii="仿宋" w:hAnsi="仿宋" w:eastAsia="仿宋" w:cs="仿宋_GB2312"/>
          <w:sz w:val="28"/>
          <w:szCs w:val="28"/>
        </w:rPr>
        <w:t>1</w:t>
      </w:r>
      <w:r>
        <w:rPr>
          <w:rFonts w:hint="eastAsia" w:ascii="仿宋" w:hAnsi="仿宋" w:eastAsia="仿宋" w:cs="仿宋_GB2312"/>
          <w:sz w:val="28"/>
          <w:szCs w:val="28"/>
        </w:rPr>
        <w:t>）资格预审：</w:t>
      </w:r>
      <w:r>
        <w:rPr>
          <w:rFonts w:hint="eastAsia" w:ascii="仿宋" w:hAnsi="仿宋" w:eastAsia="仿宋" w:cs="仿宋_GB2312"/>
          <w:spacing w:val="-20"/>
          <w:sz w:val="28"/>
          <w:szCs w:val="28"/>
        </w:rPr>
        <w:t>未在招标中心备案的投标人，需提供企业营业执照（年审过的有效件且必须有标的物经营</w:t>
      </w:r>
      <w:r>
        <w:rPr>
          <w:rFonts w:hint="eastAsia" w:ascii="仿宋" w:hAnsi="仿宋" w:eastAsia="仿宋"/>
          <w:spacing w:val="-20"/>
          <w:sz w:val="28"/>
          <w:szCs w:val="28"/>
        </w:rPr>
        <w:t>范围）</w:t>
      </w:r>
      <w:r>
        <w:rPr>
          <w:rFonts w:hint="eastAsia" w:ascii="仿宋" w:hAnsi="仿宋" w:eastAsia="仿宋" w:cs="仿宋"/>
          <w:spacing w:val="-20"/>
          <w:sz w:val="28"/>
          <w:szCs w:val="28"/>
        </w:rPr>
        <w:t>、相关资质许可、相关授权资料等、法人授权书、法人及投标人身份证、业绩合同等加盖公章复印件扫描件，打包发送至</w:t>
      </w:r>
      <w:r>
        <w:rPr>
          <w:rFonts w:hint="eastAsia" w:ascii="仿宋" w:hAnsi="仿宋" w:eastAsia="仿宋" w:cs="仿宋"/>
          <w:spacing w:val="-20"/>
          <w:sz w:val="28"/>
          <w:szCs w:val="28"/>
          <w:lang w:val="en-US" w:eastAsia="zh-CN"/>
        </w:rPr>
        <w:t>277838558</w:t>
      </w:r>
      <w:r>
        <w:rPr>
          <w:rFonts w:ascii="仿宋" w:hAnsi="仿宋" w:eastAsia="仿宋" w:cs="仿宋"/>
          <w:spacing w:val="-20"/>
          <w:sz w:val="28"/>
          <w:szCs w:val="28"/>
        </w:rPr>
        <w:t>@</w:t>
      </w:r>
      <w:r>
        <w:rPr>
          <w:rFonts w:hint="eastAsia" w:ascii="仿宋" w:hAnsi="仿宋" w:eastAsia="仿宋" w:cs="仿宋"/>
          <w:spacing w:val="-20"/>
          <w:sz w:val="28"/>
          <w:szCs w:val="28"/>
        </w:rPr>
        <w:t>qq</w:t>
      </w:r>
      <w:r>
        <w:rPr>
          <w:rFonts w:ascii="仿宋" w:hAnsi="仿宋" w:eastAsia="仿宋" w:cs="仿宋"/>
          <w:spacing w:val="-20"/>
          <w:sz w:val="28"/>
          <w:szCs w:val="28"/>
        </w:rPr>
        <w:t>.com</w:t>
      </w:r>
      <w:r>
        <w:rPr>
          <w:rFonts w:hint="eastAsia" w:ascii="仿宋" w:hAnsi="仿宋" w:eastAsia="仿宋" w:cs="仿宋"/>
          <w:spacing w:val="-20"/>
          <w:sz w:val="28"/>
          <w:szCs w:val="28"/>
        </w:rPr>
        <w:t>作资质预审；资质预审截止时间：</w:t>
      </w:r>
      <w:r>
        <w:rPr>
          <w:rFonts w:hint="eastAsia" w:ascii="仿宋" w:hAnsi="仿宋" w:eastAsia="仿宋" w:cs="仿宋"/>
          <w:spacing w:val="-20"/>
          <w:sz w:val="28"/>
          <w:szCs w:val="28"/>
          <w:lang w:val="en-US" w:eastAsia="zh-CN"/>
        </w:rPr>
        <w:t>3</w:t>
      </w:r>
      <w:r>
        <w:rPr>
          <w:rFonts w:hint="eastAsia" w:ascii="仿宋" w:hAnsi="仿宋" w:eastAsia="仿宋" w:cs="仿宋"/>
          <w:spacing w:val="-20"/>
          <w:sz w:val="28"/>
          <w:szCs w:val="28"/>
        </w:rPr>
        <w:t>月</w:t>
      </w:r>
      <w:r>
        <w:rPr>
          <w:rFonts w:hint="eastAsia" w:ascii="仿宋" w:hAnsi="仿宋" w:eastAsia="仿宋" w:cs="仿宋"/>
          <w:spacing w:val="-20"/>
          <w:sz w:val="28"/>
          <w:szCs w:val="28"/>
          <w:lang w:val="en-US" w:eastAsia="zh-CN"/>
        </w:rPr>
        <w:t>13</w:t>
      </w:r>
      <w:r>
        <w:rPr>
          <w:rFonts w:hint="eastAsia" w:ascii="仿宋" w:hAnsi="仿宋" w:eastAsia="仿宋" w:cs="仿宋"/>
          <w:spacing w:val="-20"/>
          <w:sz w:val="28"/>
          <w:szCs w:val="28"/>
        </w:rPr>
        <w:t>日中午12时前</w:t>
      </w:r>
      <w:r>
        <w:rPr>
          <w:rFonts w:hint="eastAsia" w:ascii="仿宋" w:hAnsi="仿宋" w:eastAsia="仿宋"/>
          <w:spacing w:val="-20"/>
          <w:sz w:val="28"/>
          <w:szCs w:val="28"/>
        </w:rPr>
        <w:t>，逾期未审者不得参与本次招标。</w:t>
      </w:r>
    </w:p>
    <w:p w14:paraId="76038EBB">
      <w:pPr>
        <w:spacing w:line="460" w:lineRule="exact"/>
        <w:ind w:firstLine="560" w:firstLineChars="200"/>
        <w:rPr>
          <w:rFonts w:hint="eastAsia" w:ascii="仿宋" w:hAnsi="仿宋" w:eastAsia="仿宋" w:cs="仿宋_GB2312"/>
          <w:sz w:val="28"/>
          <w:szCs w:val="28"/>
        </w:rPr>
      </w:pPr>
      <w:r>
        <w:rPr>
          <w:rFonts w:ascii="仿宋" w:hAnsi="仿宋" w:eastAsia="仿宋" w:cs="仿宋_GB2312"/>
          <w:sz w:val="28"/>
          <w:szCs w:val="28"/>
        </w:rPr>
        <w:t>2</w:t>
      </w:r>
      <w:r>
        <w:rPr>
          <w:rFonts w:hint="eastAsia" w:ascii="仿宋" w:hAnsi="仿宋" w:eastAsia="仿宋" w:cs="仿宋_GB2312"/>
          <w:sz w:val="28"/>
          <w:szCs w:val="28"/>
        </w:rPr>
        <w:t>）资格后审，即在评标过程中评标小组成员共同进行审查；</w:t>
      </w:r>
    </w:p>
    <w:p w14:paraId="0187882C">
      <w:pPr>
        <w:spacing w:before="62" w:beforeLines="20" w:after="62" w:afterLines="20" w:line="460" w:lineRule="exact"/>
        <w:ind w:firstLine="560" w:firstLineChars="200"/>
        <w:rPr>
          <w:rFonts w:hint="eastAsia" w:ascii="仿宋" w:hAnsi="仿宋" w:eastAsia="仿宋"/>
          <w:spacing w:val="-20"/>
          <w:sz w:val="28"/>
          <w:szCs w:val="28"/>
        </w:rPr>
      </w:pPr>
      <w:r>
        <w:rPr>
          <w:rFonts w:ascii="仿宋" w:hAnsi="仿宋" w:eastAsia="仿宋" w:cs="仿宋"/>
          <w:sz w:val="28"/>
          <w:szCs w:val="28"/>
        </w:rPr>
        <w:t>4</w:t>
      </w:r>
      <w:r>
        <w:rPr>
          <w:rFonts w:hint="eastAsia" w:ascii="仿宋" w:hAnsi="仿宋" w:eastAsia="仿宋" w:cs="仿宋"/>
          <w:sz w:val="28"/>
          <w:szCs w:val="28"/>
        </w:rPr>
        <w:t>、</w:t>
      </w:r>
      <w:r>
        <w:rPr>
          <w:rFonts w:hint="eastAsia" w:ascii="仿宋" w:hAnsi="仿宋" w:eastAsia="仿宋" w:cs="仿宋"/>
          <w:spacing w:val="-20"/>
          <w:sz w:val="28"/>
          <w:szCs w:val="28"/>
        </w:rPr>
        <w:t>投标保证金：各投标人在开标前须向业主单位财务缴纳投标保证金人民币</w:t>
      </w:r>
      <w:r>
        <w:rPr>
          <w:rFonts w:hint="eastAsia" w:ascii="仿宋" w:hAnsi="仿宋" w:eastAsia="仿宋" w:cs="仿宋"/>
          <w:spacing w:val="-20"/>
          <w:sz w:val="28"/>
          <w:szCs w:val="28"/>
          <w:lang w:val="en-US" w:eastAsia="zh-CN"/>
        </w:rPr>
        <w:t>伍仟</w:t>
      </w:r>
      <w:r>
        <w:rPr>
          <w:rFonts w:hint="eastAsia" w:ascii="仿宋" w:hAnsi="仿宋" w:eastAsia="仿宋" w:cs="仿宋"/>
          <w:spacing w:val="-20"/>
          <w:sz w:val="28"/>
          <w:szCs w:val="28"/>
        </w:rPr>
        <w:t>元（￥</w:t>
      </w:r>
      <w:r>
        <w:rPr>
          <w:rFonts w:hint="eastAsia" w:ascii="仿宋" w:hAnsi="仿宋" w:eastAsia="仿宋" w:cs="仿宋"/>
          <w:spacing w:val="-20"/>
          <w:sz w:val="28"/>
          <w:szCs w:val="28"/>
          <w:lang w:val="en-US" w:eastAsia="zh-CN"/>
        </w:rPr>
        <w:t>5000</w:t>
      </w:r>
      <w:r>
        <w:rPr>
          <w:rFonts w:hint="eastAsia" w:ascii="仿宋" w:hAnsi="仿宋" w:eastAsia="仿宋" w:cs="仿宋"/>
          <w:spacing w:val="-20"/>
          <w:sz w:val="28"/>
          <w:szCs w:val="28"/>
        </w:rPr>
        <w:t>元）整，（详细要求见招标文件第七部分）；</w:t>
      </w:r>
    </w:p>
    <w:p w14:paraId="477FAEF7">
      <w:pPr>
        <w:spacing w:line="460" w:lineRule="exact"/>
        <w:ind w:firstLine="560" w:firstLineChars="200"/>
        <w:jc w:val="left"/>
        <w:rPr>
          <w:rFonts w:hint="eastAsia" w:ascii="仿宋" w:hAnsi="仿宋" w:eastAsia="仿宋"/>
          <w:sz w:val="28"/>
          <w:szCs w:val="28"/>
        </w:rPr>
      </w:pPr>
      <w:r>
        <w:rPr>
          <w:rFonts w:ascii="仿宋" w:hAnsi="仿宋" w:eastAsia="仿宋"/>
          <w:sz w:val="28"/>
          <w:szCs w:val="28"/>
        </w:rPr>
        <w:t>5</w:t>
      </w:r>
      <w:r>
        <w:rPr>
          <w:rFonts w:hint="eastAsia" w:ascii="仿宋" w:hAnsi="仿宋" w:eastAsia="仿宋"/>
          <w:sz w:val="28"/>
          <w:szCs w:val="28"/>
        </w:rPr>
        <w:t>、违约：认真阅读招标文件、合同条款、技术要求，参与投标即视同完全响应（差异表所列内容除外）。中标单位必须严格按照投标文件及投标报价单(价格、付款方式)签订合同及技术协议，否则即为违约</w:t>
      </w:r>
      <w:r>
        <w:rPr>
          <w:rFonts w:hint="eastAsia" w:ascii="仿宋" w:hAnsi="仿宋" w:eastAsia="仿宋" w:cs="仿宋"/>
          <w:sz w:val="28"/>
          <w:szCs w:val="28"/>
        </w:rPr>
        <w:t>（详见招标文件第七部分）</w:t>
      </w:r>
      <w:r>
        <w:rPr>
          <w:rFonts w:hint="eastAsia" w:ascii="仿宋" w:hAnsi="仿宋" w:eastAsia="仿宋"/>
          <w:sz w:val="28"/>
          <w:szCs w:val="28"/>
        </w:rPr>
        <w:t>；</w:t>
      </w:r>
    </w:p>
    <w:p w14:paraId="08680F4E">
      <w:pPr>
        <w:spacing w:line="460" w:lineRule="exact"/>
        <w:ind w:firstLine="560" w:firstLineChars="200"/>
        <w:jc w:val="left"/>
        <w:rPr>
          <w:rFonts w:hint="eastAsia" w:ascii="仿宋" w:hAnsi="仿宋" w:eastAsia="仿宋"/>
          <w:spacing w:val="-20"/>
          <w:sz w:val="28"/>
          <w:szCs w:val="28"/>
        </w:rPr>
      </w:pPr>
      <w:r>
        <w:rPr>
          <w:rFonts w:ascii="仿宋" w:hAnsi="仿宋" w:eastAsia="仿宋"/>
          <w:sz w:val="28"/>
          <w:szCs w:val="28"/>
        </w:rPr>
        <w:t>6</w:t>
      </w:r>
      <w:r>
        <w:rPr>
          <w:rFonts w:hint="eastAsia" w:ascii="仿宋" w:hAnsi="仿宋" w:eastAsia="仿宋"/>
          <w:sz w:val="28"/>
          <w:szCs w:val="28"/>
        </w:rPr>
        <w:t>、评标办法：各投标单位在都能满足招标文件及技术要求需求的</w:t>
      </w:r>
      <w:r>
        <w:rPr>
          <w:rFonts w:hint="eastAsia" w:ascii="仿宋" w:hAnsi="仿宋" w:eastAsia="仿宋"/>
          <w:spacing w:val="-20"/>
          <w:sz w:val="28"/>
          <w:szCs w:val="28"/>
        </w:rPr>
        <w:t>情况下，综合评分高者优先列为中标候选单位（</w:t>
      </w:r>
      <w:r>
        <w:rPr>
          <w:rFonts w:hint="eastAsia" w:ascii="仿宋" w:hAnsi="仿宋" w:eastAsia="仿宋" w:cs="仿宋"/>
          <w:spacing w:val="-20"/>
          <w:sz w:val="28"/>
          <w:szCs w:val="28"/>
        </w:rPr>
        <w:t>详见招标文件第三部分）</w:t>
      </w:r>
      <w:r>
        <w:rPr>
          <w:rFonts w:hint="eastAsia" w:ascii="仿宋" w:hAnsi="仿宋" w:eastAsia="仿宋"/>
          <w:spacing w:val="-20"/>
          <w:sz w:val="28"/>
          <w:szCs w:val="28"/>
        </w:rPr>
        <w:t>；</w:t>
      </w:r>
    </w:p>
    <w:p w14:paraId="1B1FCC8D">
      <w:pPr>
        <w:spacing w:line="460" w:lineRule="exact"/>
        <w:ind w:firstLine="560" w:firstLineChars="200"/>
        <w:rPr>
          <w:rFonts w:hint="eastAsia" w:ascii="仿宋" w:hAnsi="仿宋" w:eastAsia="仿宋"/>
          <w:sz w:val="28"/>
          <w:szCs w:val="28"/>
        </w:rPr>
      </w:pPr>
      <w:r>
        <w:rPr>
          <w:rFonts w:ascii="仿宋" w:hAnsi="仿宋" w:eastAsia="仿宋"/>
          <w:sz w:val="28"/>
          <w:szCs w:val="28"/>
        </w:rPr>
        <w:t>7</w:t>
      </w:r>
      <w:r>
        <w:rPr>
          <w:rFonts w:hint="eastAsia" w:ascii="仿宋" w:hAnsi="仿宋" w:eastAsia="仿宋"/>
          <w:sz w:val="28"/>
          <w:szCs w:val="28"/>
        </w:rPr>
        <w:t>、供货范围：详见技术要求（附件7）；</w:t>
      </w:r>
    </w:p>
    <w:p w14:paraId="2DF6ECF4">
      <w:pPr>
        <w:spacing w:line="460" w:lineRule="exact"/>
        <w:ind w:firstLine="560" w:firstLineChars="200"/>
        <w:rPr>
          <w:rFonts w:hint="eastAsia" w:ascii="仿宋" w:hAnsi="仿宋" w:eastAsia="仿宋"/>
          <w:sz w:val="28"/>
          <w:szCs w:val="28"/>
        </w:rPr>
      </w:pPr>
      <w:r>
        <w:rPr>
          <w:rFonts w:ascii="仿宋" w:hAnsi="仿宋" w:eastAsia="仿宋" w:cs="仿宋"/>
          <w:sz w:val="28"/>
          <w:szCs w:val="28"/>
        </w:rPr>
        <w:t>8</w:t>
      </w:r>
      <w:r>
        <w:rPr>
          <w:rFonts w:hint="eastAsia" w:ascii="仿宋" w:hAnsi="仿宋" w:eastAsia="仿宋" w:cs="仿宋"/>
          <w:sz w:val="28"/>
          <w:szCs w:val="28"/>
        </w:rPr>
        <w:t>、</w:t>
      </w:r>
      <w:r>
        <w:rPr>
          <w:rFonts w:hint="eastAsia" w:ascii="仿宋" w:hAnsi="仿宋" w:eastAsia="仿宋"/>
          <w:sz w:val="28"/>
          <w:szCs w:val="28"/>
        </w:rPr>
        <w:t>解决招标纠纷的方式：双方友好协商；协商不成，提交招标方所在地有管辖权的人民法院裁决。</w:t>
      </w:r>
    </w:p>
    <w:p w14:paraId="1D1B0133">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9、为保证项目的进度要求，招标人保留拆包授予合同的权力。</w:t>
      </w:r>
    </w:p>
    <w:p w14:paraId="74ED1B2A">
      <w:pPr>
        <w:spacing w:line="460" w:lineRule="exact"/>
        <w:ind w:firstLine="562" w:firstLineChars="200"/>
        <w:rPr>
          <w:rFonts w:hint="eastAsia" w:ascii="仿宋" w:hAnsi="仿宋" w:eastAsia="仿宋"/>
          <w:b/>
          <w:bCs/>
          <w:sz w:val="28"/>
          <w:szCs w:val="28"/>
        </w:rPr>
      </w:pPr>
      <w:r>
        <w:rPr>
          <w:rFonts w:hint="eastAsia" w:ascii="仿宋" w:hAnsi="仿宋" w:eastAsia="仿宋"/>
          <w:b/>
          <w:bCs/>
          <w:sz w:val="28"/>
          <w:szCs w:val="28"/>
        </w:rPr>
        <w:t>二、投标文件</w:t>
      </w:r>
    </w:p>
    <w:p w14:paraId="473801E2">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1 、投标文件的组成</w:t>
      </w:r>
    </w:p>
    <w:p w14:paraId="4AAD1D08">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1.1. 投标文件由三卷组成：</w:t>
      </w:r>
    </w:p>
    <w:p w14:paraId="6E3FA541">
      <w:pPr>
        <w:spacing w:line="460" w:lineRule="exact"/>
        <w:ind w:firstLine="562" w:firstLineChars="200"/>
        <w:rPr>
          <w:rFonts w:hint="eastAsia" w:ascii="仿宋" w:hAnsi="仿宋" w:eastAsia="仿宋"/>
          <w:b/>
          <w:bCs/>
          <w:sz w:val="28"/>
          <w:szCs w:val="28"/>
        </w:rPr>
      </w:pPr>
      <w:r>
        <w:rPr>
          <w:rFonts w:hint="eastAsia" w:ascii="仿宋" w:hAnsi="仿宋" w:eastAsia="仿宋"/>
          <w:b/>
          <w:bCs/>
          <w:sz w:val="28"/>
          <w:szCs w:val="28"/>
        </w:rPr>
        <w:t>第一卷为商务部分，包括以下内容：</w:t>
      </w:r>
    </w:p>
    <w:p w14:paraId="1AB3974A">
      <w:pPr>
        <w:spacing w:line="46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1）投标人廉政承诺书</w:t>
      </w:r>
      <w:r>
        <w:rPr>
          <w:rFonts w:hint="eastAsia" w:ascii="仿宋" w:hAnsi="仿宋" w:eastAsia="仿宋"/>
          <w:sz w:val="28"/>
          <w:szCs w:val="28"/>
          <w:lang w:eastAsia="zh-CN"/>
        </w:rPr>
        <w:t>（</w:t>
      </w:r>
      <w:r>
        <w:rPr>
          <w:rFonts w:hint="eastAsia" w:ascii="仿宋" w:hAnsi="仿宋" w:eastAsia="仿宋"/>
          <w:sz w:val="28"/>
          <w:szCs w:val="28"/>
        </w:rPr>
        <w:t>详见附件</w:t>
      </w:r>
      <w:r>
        <w:rPr>
          <w:rFonts w:ascii="仿宋" w:hAnsi="仿宋" w:eastAsia="仿宋"/>
          <w:sz w:val="28"/>
          <w:szCs w:val="28"/>
        </w:rPr>
        <w:t>1</w:t>
      </w:r>
      <w:r>
        <w:rPr>
          <w:rFonts w:hint="eastAsia" w:ascii="仿宋" w:hAnsi="仿宋" w:eastAsia="仿宋"/>
          <w:sz w:val="28"/>
          <w:szCs w:val="28"/>
          <w:lang w:eastAsia="zh-CN"/>
        </w:rPr>
        <w:t>）</w:t>
      </w:r>
    </w:p>
    <w:p w14:paraId="76BFC247">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2）投标人承诺函（详见附件</w:t>
      </w:r>
      <w:r>
        <w:rPr>
          <w:rFonts w:ascii="仿宋" w:hAnsi="仿宋" w:eastAsia="仿宋"/>
          <w:sz w:val="28"/>
          <w:szCs w:val="28"/>
        </w:rPr>
        <w:t>2</w:t>
      </w:r>
      <w:r>
        <w:rPr>
          <w:rFonts w:hint="eastAsia" w:ascii="仿宋" w:hAnsi="仿宋" w:eastAsia="仿宋"/>
          <w:sz w:val="28"/>
          <w:szCs w:val="28"/>
        </w:rPr>
        <w:t>）</w:t>
      </w:r>
      <w:r>
        <w:rPr>
          <w:rFonts w:ascii="仿宋" w:hAnsi="仿宋" w:eastAsia="仿宋"/>
          <w:sz w:val="28"/>
          <w:szCs w:val="28"/>
        </w:rPr>
        <w:t xml:space="preserve">   </w:t>
      </w:r>
    </w:p>
    <w:p w14:paraId="358D1A2D">
      <w:pPr>
        <w:spacing w:line="460" w:lineRule="exact"/>
        <w:ind w:firstLine="560" w:firstLineChars="200"/>
        <w:rPr>
          <w:rFonts w:hint="eastAsia" w:ascii="仿宋" w:hAnsi="仿宋" w:eastAsia="仿宋"/>
          <w:spacing w:val="-20"/>
          <w:sz w:val="28"/>
          <w:szCs w:val="28"/>
          <w:lang w:eastAsia="zh-CN"/>
        </w:rPr>
      </w:pPr>
      <w:r>
        <w:rPr>
          <w:rFonts w:hint="eastAsia" w:ascii="仿宋" w:hAnsi="仿宋" w:eastAsia="仿宋"/>
          <w:sz w:val="28"/>
          <w:szCs w:val="28"/>
        </w:rPr>
        <w:t>3）</w:t>
      </w:r>
      <w:r>
        <w:rPr>
          <w:rFonts w:hint="eastAsia" w:ascii="仿宋" w:hAnsi="仿宋" w:eastAsia="仿宋"/>
          <w:spacing w:val="-20"/>
          <w:sz w:val="28"/>
          <w:szCs w:val="28"/>
        </w:rPr>
        <w:t>投标人法定代表人授权书（法定代表人必须签字签章），</w:t>
      </w:r>
      <w:r>
        <w:rPr>
          <w:rFonts w:hint="eastAsia" w:ascii="仿宋" w:hAnsi="仿宋" w:eastAsia="仿宋"/>
          <w:spacing w:val="-20"/>
          <w:sz w:val="28"/>
          <w:szCs w:val="28"/>
          <w:lang w:eastAsia="zh-CN"/>
        </w:rPr>
        <w:t>（</w:t>
      </w:r>
      <w:r>
        <w:rPr>
          <w:rFonts w:hint="eastAsia" w:ascii="仿宋" w:hAnsi="仿宋" w:eastAsia="仿宋"/>
          <w:spacing w:val="-20"/>
          <w:sz w:val="28"/>
          <w:szCs w:val="28"/>
        </w:rPr>
        <w:t>详见附件</w:t>
      </w:r>
      <w:r>
        <w:rPr>
          <w:rFonts w:ascii="仿宋" w:hAnsi="仿宋" w:eastAsia="仿宋"/>
          <w:spacing w:val="-20"/>
          <w:sz w:val="28"/>
          <w:szCs w:val="28"/>
        </w:rPr>
        <w:t>3</w:t>
      </w:r>
      <w:r>
        <w:rPr>
          <w:rFonts w:hint="eastAsia" w:ascii="仿宋" w:hAnsi="仿宋" w:eastAsia="仿宋"/>
          <w:spacing w:val="-20"/>
          <w:sz w:val="28"/>
          <w:szCs w:val="28"/>
          <w:lang w:eastAsia="zh-CN"/>
        </w:rPr>
        <w:t>）</w:t>
      </w:r>
    </w:p>
    <w:p w14:paraId="0131F7E9">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4）投标人资格、资信证明文件，其中包括：</w:t>
      </w:r>
    </w:p>
    <w:p w14:paraId="750044A9">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I.关于投标人资格的声明函；</w:t>
      </w:r>
    </w:p>
    <w:p w14:paraId="26570F3E">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II.企业法人营业执照（复印件加盖企业红章）；</w:t>
      </w:r>
    </w:p>
    <w:p w14:paraId="74F088AC">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III.安全生产许可证、有关鉴定材料、施工资质证书等资质文件；</w:t>
      </w:r>
    </w:p>
    <w:p w14:paraId="4AB835CE">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IV. 质量、环境、职业健康等保证体系及其他质量认证证明；</w:t>
      </w:r>
    </w:p>
    <w:p w14:paraId="17F4FB7A">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V. 业绩及目前正在执行合同情况；</w:t>
      </w:r>
    </w:p>
    <w:p w14:paraId="2C60306B">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VI. 近三年财务状况、信用评价及其它文件和资料。</w:t>
      </w:r>
    </w:p>
    <w:p w14:paraId="33B8C4B0">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5）企业、产品简介、</w:t>
      </w:r>
    </w:p>
    <w:p w14:paraId="012E3C16">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6）分项详细报价（依照技术要求列出分项报价）等；</w:t>
      </w:r>
    </w:p>
    <w:p w14:paraId="031C7D0A">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7）商务、技术异议回复（详见附件</w:t>
      </w:r>
      <w:r>
        <w:rPr>
          <w:rFonts w:ascii="仿宋" w:hAnsi="仿宋" w:eastAsia="仿宋"/>
          <w:sz w:val="28"/>
          <w:szCs w:val="28"/>
        </w:rPr>
        <w:t>6</w:t>
      </w:r>
      <w:r>
        <w:rPr>
          <w:rFonts w:hint="eastAsia" w:ascii="仿宋" w:hAnsi="仿宋" w:eastAsia="仿宋"/>
          <w:sz w:val="28"/>
          <w:szCs w:val="28"/>
        </w:rPr>
        <w:t>）</w:t>
      </w:r>
    </w:p>
    <w:p w14:paraId="22FCF0CC">
      <w:pPr>
        <w:spacing w:line="460" w:lineRule="exact"/>
        <w:ind w:firstLine="562" w:firstLineChars="200"/>
        <w:rPr>
          <w:rFonts w:hint="eastAsia" w:ascii="仿宋" w:hAnsi="仿宋" w:eastAsia="仿宋"/>
          <w:sz w:val="28"/>
          <w:szCs w:val="28"/>
        </w:rPr>
      </w:pPr>
      <w:r>
        <w:rPr>
          <w:rFonts w:hint="eastAsia" w:ascii="仿宋" w:hAnsi="仿宋" w:eastAsia="仿宋"/>
          <w:b/>
          <w:bCs/>
          <w:sz w:val="28"/>
          <w:szCs w:val="28"/>
        </w:rPr>
        <w:t>第二卷为技术部分（按招标方技术规范做相应说明）；</w:t>
      </w:r>
    </w:p>
    <w:p w14:paraId="5CAE7762">
      <w:pPr>
        <w:spacing w:line="460" w:lineRule="exact"/>
        <w:ind w:firstLine="562" w:firstLineChars="200"/>
        <w:rPr>
          <w:rFonts w:hint="eastAsia" w:ascii="仿宋" w:hAnsi="仿宋" w:eastAsia="仿宋"/>
          <w:b/>
          <w:bCs/>
          <w:sz w:val="28"/>
          <w:szCs w:val="28"/>
        </w:rPr>
      </w:pPr>
      <w:r>
        <w:rPr>
          <w:rFonts w:hint="eastAsia" w:ascii="仿宋" w:hAnsi="仿宋" w:eastAsia="仿宋"/>
          <w:b/>
          <w:bCs/>
          <w:sz w:val="28"/>
          <w:szCs w:val="28"/>
        </w:rPr>
        <w:t>第三卷为售后、技术服务和设计联络部分</w:t>
      </w:r>
    </w:p>
    <w:p w14:paraId="2C26CA10">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投标人所作的一切有效补充、修改文件，均被视为投标文件不可分割的部分。</w:t>
      </w:r>
    </w:p>
    <w:p w14:paraId="67228B05">
      <w:pPr>
        <w:spacing w:line="460" w:lineRule="exact"/>
        <w:ind w:firstLine="562" w:firstLineChars="200"/>
        <w:rPr>
          <w:rFonts w:hint="eastAsia" w:ascii="仿宋" w:hAnsi="仿宋" w:eastAsia="仿宋"/>
          <w:b/>
          <w:bCs/>
          <w:sz w:val="28"/>
          <w:szCs w:val="28"/>
        </w:rPr>
      </w:pPr>
      <w:r>
        <w:rPr>
          <w:rFonts w:hint="eastAsia" w:ascii="仿宋" w:hAnsi="仿宋" w:eastAsia="仿宋"/>
          <w:b/>
          <w:bCs/>
          <w:sz w:val="28"/>
          <w:szCs w:val="28"/>
        </w:rPr>
        <w:t>2 投标文件的编制</w:t>
      </w:r>
    </w:p>
    <w:p w14:paraId="333C3C66">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2.1 一般要求</w:t>
      </w:r>
    </w:p>
    <w:p w14:paraId="28E5D904">
      <w:pPr>
        <w:spacing w:line="460" w:lineRule="exact"/>
        <w:ind w:firstLine="480" w:firstLineChars="200"/>
        <w:rPr>
          <w:rFonts w:hint="eastAsia" w:ascii="仿宋" w:hAnsi="仿宋" w:eastAsia="仿宋"/>
          <w:spacing w:val="-20"/>
          <w:sz w:val="28"/>
          <w:szCs w:val="28"/>
        </w:rPr>
      </w:pPr>
      <w:r>
        <w:rPr>
          <w:rFonts w:hint="eastAsia" w:ascii="仿宋" w:hAnsi="仿宋" w:eastAsia="仿宋"/>
          <w:spacing w:val="-20"/>
          <w:sz w:val="28"/>
          <w:szCs w:val="28"/>
        </w:rPr>
        <w:t>投标人应严格按照招标文件所规定的格式和内容要求编制投标文件，逐项逐条回答招标文件，顺序和编号应与招标文件一致。可以增加说明或描述性文字。投标文件对招标文件未提出异议的条款，均被视为接受和同意。</w:t>
      </w:r>
    </w:p>
    <w:p w14:paraId="14C33EA1">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2.2 投标有效期</w:t>
      </w:r>
    </w:p>
    <w:p w14:paraId="2146679A">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投标文件从开标之日起，投标有效期为9</w:t>
      </w:r>
      <w:r>
        <w:rPr>
          <w:rFonts w:ascii="仿宋" w:hAnsi="仿宋" w:eastAsia="仿宋"/>
          <w:sz w:val="28"/>
          <w:szCs w:val="28"/>
        </w:rPr>
        <w:t>0</w:t>
      </w:r>
      <w:r>
        <w:rPr>
          <w:rFonts w:hint="eastAsia" w:ascii="仿宋" w:hAnsi="仿宋" w:eastAsia="仿宋"/>
          <w:sz w:val="28"/>
          <w:szCs w:val="28"/>
        </w:rPr>
        <w:t>天。</w:t>
      </w:r>
    </w:p>
    <w:p w14:paraId="250152DE">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2.3 投标人建议</w:t>
      </w:r>
    </w:p>
    <w:p w14:paraId="3ED4D2E9">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投标人可提出补充建议或说明，提出比招标文件的要求更为合理的建议方案，列于附件中。同时应说明对技术条件、价格、运行、维护、检修、安装等方面的影响。</w:t>
      </w:r>
    </w:p>
    <w:p w14:paraId="05ABFA55">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2.4 投标文件的份数和签署</w:t>
      </w:r>
    </w:p>
    <w:p w14:paraId="31AF3F82">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2.4.1投标文件一式</w:t>
      </w:r>
      <w:r>
        <w:rPr>
          <w:rFonts w:hint="eastAsia" w:ascii="仿宋" w:hAnsi="仿宋" w:eastAsia="仿宋"/>
          <w:sz w:val="28"/>
          <w:szCs w:val="28"/>
          <w:lang w:val="en-US" w:eastAsia="zh-CN"/>
        </w:rPr>
        <w:t>三</w:t>
      </w:r>
      <w:r>
        <w:rPr>
          <w:rFonts w:hint="eastAsia" w:ascii="仿宋" w:hAnsi="仿宋" w:eastAsia="仿宋"/>
          <w:sz w:val="28"/>
          <w:szCs w:val="28"/>
        </w:rPr>
        <w:t>份，正本一份，副本</w:t>
      </w:r>
      <w:r>
        <w:rPr>
          <w:rFonts w:hint="eastAsia" w:ascii="仿宋" w:hAnsi="仿宋" w:eastAsia="仿宋"/>
          <w:sz w:val="28"/>
          <w:szCs w:val="28"/>
          <w:lang w:val="en-US" w:eastAsia="zh-CN"/>
        </w:rPr>
        <w:t>二</w:t>
      </w:r>
      <w:r>
        <w:rPr>
          <w:rFonts w:hint="eastAsia" w:ascii="仿宋" w:hAnsi="仿宋" w:eastAsia="仿宋"/>
          <w:sz w:val="28"/>
          <w:szCs w:val="28"/>
        </w:rPr>
        <w:t>份。</w:t>
      </w:r>
    </w:p>
    <w:p w14:paraId="2B2433A5">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2.4.2 投标文件正本的每一页均应由投标人代表签字。报价表均应由投标人代表签名并加盖公章。</w:t>
      </w:r>
    </w:p>
    <w:p w14:paraId="26DE1D7B">
      <w:pPr>
        <w:spacing w:line="460" w:lineRule="exact"/>
        <w:ind w:firstLine="562" w:firstLineChars="200"/>
        <w:rPr>
          <w:rFonts w:hint="eastAsia" w:ascii="仿宋" w:hAnsi="仿宋" w:eastAsia="仿宋"/>
          <w:b/>
          <w:bCs/>
          <w:sz w:val="28"/>
          <w:szCs w:val="28"/>
        </w:rPr>
      </w:pPr>
      <w:r>
        <w:rPr>
          <w:rFonts w:hint="eastAsia" w:ascii="仿宋" w:hAnsi="仿宋" w:eastAsia="仿宋"/>
          <w:b/>
          <w:bCs/>
          <w:sz w:val="28"/>
          <w:szCs w:val="28"/>
        </w:rPr>
        <w:t>3 投标报价（详见附件）</w:t>
      </w:r>
    </w:p>
    <w:p w14:paraId="321DB7AC">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3.1 投标人应严</w:t>
      </w:r>
      <w:r>
        <w:rPr>
          <w:rFonts w:hint="eastAsia" w:ascii="仿宋" w:hAnsi="仿宋" w:eastAsia="仿宋"/>
          <w:b/>
          <w:bCs/>
          <w:color w:val="FF0000"/>
          <w:sz w:val="28"/>
          <w:szCs w:val="28"/>
        </w:rPr>
        <w:t>格按照招标方投标报价单格式</w:t>
      </w:r>
      <w:r>
        <w:rPr>
          <w:rFonts w:hint="eastAsia" w:ascii="仿宋" w:hAnsi="仿宋" w:eastAsia="仿宋"/>
          <w:sz w:val="28"/>
          <w:szCs w:val="28"/>
        </w:rPr>
        <w:t>认真填写投标报价单（</w:t>
      </w:r>
      <w:r>
        <w:rPr>
          <w:rFonts w:hint="eastAsia" w:ascii="仿宋" w:hAnsi="仿宋" w:eastAsia="仿宋"/>
          <w:b/>
          <w:bCs/>
          <w:color w:val="FF0000"/>
          <w:sz w:val="28"/>
          <w:szCs w:val="28"/>
        </w:rPr>
        <w:t>单独密封于档案袋</w:t>
      </w:r>
      <w:r>
        <w:rPr>
          <w:rFonts w:hint="eastAsia" w:ascii="仿宋" w:hAnsi="仿宋" w:eastAsia="仿宋"/>
          <w:sz w:val="28"/>
          <w:szCs w:val="28"/>
        </w:rPr>
        <w:t>），对照技术规范列出各种分项价格表（分项报价列入商务卷）。</w:t>
      </w:r>
    </w:p>
    <w:p w14:paraId="391C1FF8">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3.2 投标人的报价在中标后在报价有效期内价格固定不变。</w:t>
      </w:r>
    </w:p>
    <w:p w14:paraId="070348CF">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3.4 投标报价应注明有效期，有效期应与投标有效期相一致。</w:t>
      </w:r>
    </w:p>
    <w:p w14:paraId="240CED44">
      <w:pPr>
        <w:spacing w:line="460" w:lineRule="exact"/>
        <w:ind w:firstLine="562" w:firstLineChars="200"/>
        <w:rPr>
          <w:rFonts w:hint="eastAsia" w:ascii="仿宋" w:hAnsi="仿宋" w:eastAsia="仿宋"/>
          <w:b/>
          <w:bCs/>
          <w:sz w:val="28"/>
          <w:szCs w:val="28"/>
        </w:rPr>
      </w:pPr>
      <w:r>
        <w:rPr>
          <w:rFonts w:hint="eastAsia" w:ascii="仿宋" w:hAnsi="仿宋" w:eastAsia="仿宋"/>
          <w:b/>
          <w:bCs/>
          <w:sz w:val="28"/>
          <w:szCs w:val="28"/>
        </w:rPr>
        <w:t>4 投标文件的递交</w:t>
      </w:r>
    </w:p>
    <w:p w14:paraId="1EF708CC">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4.1 投标文件的密封与标记</w:t>
      </w:r>
    </w:p>
    <w:p w14:paraId="06192B57">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4.1.1 投标文件的正本和副本应分别密封，封套上注明项目名称、设备名称、投标人名址、“正本”“副本”字样及“</w:t>
      </w:r>
      <w:r>
        <w:rPr>
          <w:rFonts w:hint="eastAsia" w:ascii="仿宋" w:hAnsi="仿宋" w:eastAsia="仿宋"/>
          <w:b/>
          <w:color w:val="FF0000"/>
          <w:sz w:val="28"/>
          <w:szCs w:val="28"/>
        </w:rPr>
        <w:t>202</w:t>
      </w:r>
      <w:r>
        <w:rPr>
          <w:rFonts w:hint="eastAsia" w:ascii="仿宋" w:hAnsi="仿宋" w:eastAsia="仿宋"/>
          <w:b/>
          <w:color w:val="FF0000"/>
          <w:sz w:val="28"/>
          <w:szCs w:val="28"/>
          <w:lang w:val="en-US" w:eastAsia="zh-CN"/>
        </w:rPr>
        <w:t>6</w:t>
      </w:r>
      <w:r>
        <w:rPr>
          <w:rFonts w:hint="eastAsia" w:ascii="仿宋" w:hAnsi="仿宋" w:eastAsia="仿宋"/>
          <w:b/>
          <w:color w:val="FF0000"/>
          <w:sz w:val="28"/>
          <w:szCs w:val="28"/>
        </w:rPr>
        <w:t>年</w:t>
      </w:r>
      <w:r>
        <w:rPr>
          <w:rFonts w:hint="eastAsia" w:ascii="仿宋" w:hAnsi="仿宋" w:eastAsia="仿宋"/>
          <w:b/>
          <w:color w:val="FF0000"/>
          <w:sz w:val="28"/>
          <w:szCs w:val="28"/>
          <w:lang w:val="en-US" w:eastAsia="zh-CN"/>
        </w:rPr>
        <w:t>3</w:t>
      </w:r>
      <w:r>
        <w:rPr>
          <w:rFonts w:hint="eastAsia" w:ascii="仿宋" w:hAnsi="仿宋" w:eastAsia="仿宋"/>
          <w:b/>
          <w:color w:val="FF0000"/>
          <w:sz w:val="28"/>
          <w:szCs w:val="28"/>
        </w:rPr>
        <w:t>月</w:t>
      </w:r>
      <w:r>
        <w:rPr>
          <w:rFonts w:hint="eastAsia" w:ascii="仿宋" w:hAnsi="仿宋" w:eastAsia="仿宋"/>
          <w:b/>
          <w:color w:val="FF0000"/>
          <w:sz w:val="28"/>
          <w:szCs w:val="28"/>
          <w:lang w:val="en-US" w:eastAsia="zh-CN"/>
        </w:rPr>
        <w:t>13</w:t>
      </w:r>
      <w:r>
        <w:rPr>
          <w:rFonts w:hint="eastAsia" w:ascii="仿宋" w:hAnsi="仿宋" w:eastAsia="仿宋"/>
          <w:b/>
          <w:color w:val="FF0000"/>
          <w:sz w:val="28"/>
          <w:szCs w:val="28"/>
        </w:rPr>
        <w:t>日</w:t>
      </w:r>
      <w:r>
        <w:rPr>
          <w:rFonts w:hint="eastAsia" w:ascii="仿宋" w:hAnsi="仿宋" w:eastAsia="仿宋"/>
          <w:sz w:val="28"/>
          <w:szCs w:val="28"/>
        </w:rPr>
        <w:t>（北京时间）之前不得启封”字样。</w:t>
      </w:r>
    </w:p>
    <w:p w14:paraId="0EA0690C">
      <w:pPr>
        <w:spacing w:line="460" w:lineRule="exact"/>
        <w:ind w:firstLine="560" w:firstLineChars="200"/>
        <w:rPr>
          <w:rFonts w:hint="eastAsia" w:ascii="仿宋" w:hAnsi="仿宋" w:eastAsia="仿宋"/>
          <w:spacing w:val="-20"/>
          <w:sz w:val="28"/>
          <w:szCs w:val="28"/>
        </w:rPr>
      </w:pPr>
      <w:r>
        <w:rPr>
          <w:rFonts w:hint="eastAsia" w:ascii="仿宋" w:hAnsi="仿宋" w:eastAsia="仿宋"/>
          <w:sz w:val="28"/>
          <w:szCs w:val="28"/>
        </w:rPr>
        <w:t>4</w:t>
      </w:r>
      <w:r>
        <w:rPr>
          <w:rFonts w:ascii="仿宋" w:hAnsi="仿宋" w:eastAsia="仿宋"/>
          <w:sz w:val="28"/>
          <w:szCs w:val="28"/>
        </w:rPr>
        <w:t>.1.2</w:t>
      </w:r>
      <w:r>
        <w:rPr>
          <w:rFonts w:hint="eastAsia" w:ascii="仿宋" w:hAnsi="仿宋" w:eastAsia="仿宋"/>
          <w:spacing w:val="-20"/>
          <w:sz w:val="28"/>
          <w:szCs w:val="28"/>
        </w:rPr>
        <w:t>为便于开标唱标，投标人应将《投标报价单》另用档案袋单独密封，与投标文件一同提交，并在封面上注明项目名称、投标人名字、“投标报价表”字样及“</w:t>
      </w:r>
      <w:r>
        <w:rPr>
          <w:rFonts w:hint="eastAsia" w:ascii="仿宋" w:hAnsi="仿宋" w:eastAsia="仿宋"/>
          <w:b/>
          <w:bCs/>
          <w:color w:val="FF0000"/>
          <w:spacing w:val="-20"/>
          <w:sz w:val="28"/>
          <w:szCs w:val="28"/>
        </w:rPr>
        <w:t>202</w:t>
      </w:r>
      <w:r>
        <w:rPr>
          <w:rFonts w:hint="eastAsia" w:ascii="仿宋" w:hAnsi="仿宋" w:eastAsia="仿宋"/>
          <w:b/>
          <w:bCs/>
          <w:color w:val="FF0000"/>
          <w:spacing w:val="-20"/>
          <w:sz w:val="28"/>
          <w:szCs w:val="28"/>
          <w:lang w:val="en-US" w:eastAsia="zh-CN"/>
        </w:rPr>
        <w:t>6</w:t>
      </w:r>
      <w:r>
        <w:rPr>
          <w:rFonts w:hint="eastAsia" w:ascii="仿宋" w:hAnsi="仿宋" w:eastAsia="仿宋"/>
          <w:b/>
          <w:bCs/>
          <w:color w:val="FF0000"/>
          <w:spacing w:val="-20"/>
          <w:sz w:val="28"/>
          <w:szCs w:val="28"/>
        </w:rPr>
        <w:t>年</w:t>
      </w:r>
      <w:r>
        <w:rPr>
          <w:rFonts w:hint="eastAsia" w:ascii="仿宋" w:hAnsi="仿宋" w:eastAsia="仿宋"/>
          <w:b/>
          <w:bCs/>
          <w:color w:val="FF0000"/>
          <w:spacing w:val="-20"/>
          <w:sz w:val="28"/>
          <w:szCs w:val="28"/>
          <w:lang w:val="en-US" w:eastAsia="zh-CN"/>
        </w:rPr>
        <w:t>3</w:t>
      </w:r>
      <w:r>
        <w:rPr>
          <w:rFonts w:hint="eastAsia" w:ascii="仿宋" w:hAnsi="仿宋" w:eastAsia="仿宋"/>
          <w:b/>
          <w:bCs/>
          <w:color w:val="FF0000"/>
          <w:spacing w:val="-20"/>
          <w:sz w:val="28"/>
          <w:szCs w:val="28"/>
        </w:rPr>
        <w:t>月</w:t>
      </w:r>
      <w:r>
        <w:rPr>
          <w:rFonts w:hint="eastAsia" w:ascii="仿宋" w:hAnsi="仿宋" w:eastAsia="仿宋"/>
          <w:b/>
          <w:bCs/>
          <w:color w:val="FF0000"/>
          <w:spacing w:val="-20"/>
          <w:sz w:val="28"/>
          <w:szCs w:val="28"/>
          <w:lang w:val="en-US" w:eastAsia="zh-CN"/>
        </w:rPr>
        <w:t>13</w:t>
      </w:r>
      <w:r>
        <w:rPr>
          <w:rFonts w:hint="eastAsia" w:ascii="仿宋" w:hAnsi="仿宋" w:eastAsia="仿宋"/>
          <w:b/>
          <w:bCs/>
          <w:color w:val="FF0000"/>
          <w:spacing w:val="-20"/>
          <w:sz w:val="28"/>
          <w:szCs w:val="28"/>
        </w:rPr>
        <w:t>日（北京时间）之前不得启封</w:t>
      </w:r>
      <w:r>
        <w:rPr>
          <w:rFonts w:hint="eastAsia" w:ascii="仿宋" w:hAnsi="仿宋" w:eastAsia="仿宋"/>
          <w:spacing w:val="-20"/>
          <w:sz w:val="28"/>
          <w:szCs w:val="28"/>
        </w:rPr>
        <w:t>”字样。</w:t>
      </w:r>
    </w:p>
    <w:p w14:paraId="3AEAACEE">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4.1.</w:t>
      </w:r>
      <w:r>
        <w:rPr>
          <w:rFonts w:ascii="仿宋" w:hAnsi="仿宋" w:eastAsia="仿宋"/>
          <w:sz w:val="28"/>
          <w:szCs w:val="28"/>
        </w:rPr>
        <w:t>3</w:t>
      </w:r>
      <w:r>
        <w:rPr>
          <w:rFonts w:hint="eastAsia" w:ascii="仿宋" w:hAnsi="仿宋" w:eastAsia="仿宋"/>
          <w:sz w:val="28"/>
          <w:szCs w:val="28"/>
        </w:rPr>
        <w:t>所有密封封口处均应加盖投标人公章或密封章。</w:t>
      </w:r>
    </w:p>
    <w:p w14:paraId="57F8E972">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4.2 投标人必须向招标人提供投标文件及图纸、技术资料的电子版一份</w:t>
      </w:r>
      <w:r>
        <w:rPr>
          <w:rFonts w:hint="eastAsia" w:ascii="仿宋" w:hAnsi="仿宋" w:eastAsia="仿宋" w:cs="仿宋_GB2312"/>
          <w:sz w:val="28"/>
          <w:szCs w:val="28"/>
        </w:rPr>
        <w:t>，密封于投标文件正本中。</w:t>
      </w:r>
    </w:p>
    <w:p w14:paraId="0320A318">
      <w:pPr>
        <w:spacing w:line="460" w:lineRule="exact"/>
        <w:ind w:firstLine="562" w:firstLineChars="200"/>
        <w:rPr>
          <w:rFonts w:hint="eastAsia" w:ascii="仿宋" w:hAnsi="仿宋" w:eastAsia="仿宋"/>
          <w:b/>
          <w:bCs/>
          <w:sz w:val="28"/>
          <w:szCs w:val="28"/>
        </w:rPr>
      </w:pPr>
      <w:r>
        <w:rPr>
          <w:rFonts w:hint="eastAsia" w:ascii="仿宋" w:hAnsi="仿宋" w:eastAsia="仿宋"/>
          <w:b/>
          <w:bCs/>
          <w:sz w:val="28"/>
          <w:szCs w:val="28"/>
        </w:rPr>
        <w:t>5 无效投标：发生下列情况之一者，视为无效投标。</w:t>
      </w:r>
    </w:p>
    <w:p w14:paraId="161D79AE">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5.1   商务评标过程中，有下列情形之一者，应予废标：</w:t>
      </w:r>
    </w:p>
    <w:p w14:paraId="03D1D744">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5.1.1  投标人及其制造商与招标人、招标机构有利害关系的。</w:t>
      </w:r>
    </w:p>
    <w:p w14:paraId="243C0806">
      <w:pPr>
        <w:spacing w:line="460" w:lineRule="exact"/>
        <w:ind w:firstLine="560" w:firstLineChars="200"/>
        <w:rPr>
          <w:rFonts w:hint="eastAsia" w:ascii="仿宋" w:hAnsi="仿宋" w:eastAsia="仿宋"/>
          <w:spacing w:val="-20"/>
          <w:sz w:val="28"/>
          <w:szCs w:val="28"/>
        </w:rPr>
      </w:pPr>
      <w:r>
        <w:rPr>
          <w:rFonts w:hint="eastAsia" w:ascii="仿宋" w:hAnsi="仿宋" w:eastAsia="仿宋"/>
          <w:sz w:val="28"/>
          <w:szCs w:val="28"/>
        </w:rPr>
        <w:t xml:space="preserve">5.1.2  </w:t>
      </w:r>
      <w:r>
        <w:rPr>
          <w:rFonts w:hint="eastAsia" w:ascii="仿宋" w:hAnsi="仿宋" w:eastAsia="仿宋"/>
          <w:spacing w:val="-20"/>
          <w:sz w:val="28"/>
          <w:szCs w:val="28"/>
        </w:rPr>
        <w:t>投标人的投标书、资格证明未提供或不符合招标文件的要求。</w:t>
      </w:r>
    </w:p>
    <w:p w14:paraId="2E0C8A20">
      <w:pPr>
        <w:spacing w:line="460" w:lineRule="exact"/>
        <w:ind w:firstLine="560" w:firstLineChars="200"/>
        <w:rPr>
          <w:rFonts w:hint="eastAsia" w:ascii="仿宋" w:hAnsi="仿宋" w:eastAsia="仿宋"/>
          <w:spacing w:val="-20"/>
          <w:sz w:val="28"/>
          <w:szCs w:val="28"/>
        </w:rPr>
      </w:pPr>
      <w:r>
        <w:rPr>
          <w:rFonts w:hint="eastAsia" w:ascii="仿宋" w:hAnsi="仿宋" w:eastAsia="仿宋"/>
          <w:sz w:val="28"/>
          <w:szCs w:val="28"/>
        </w:rPr>
        <w:t xml:space="preserve">5.1.3  </w:t>
      </w:r>
      <w:r>
        <w:rPr>
          <w:rFonts w:hint="eastAsia" w:ascii="仿宋" w:hAnsi="仿宋" w:eastAsia="仿宋"/>
          <w:spacing w:val="-20"/>
          <w:sz w:val="28"/>
          <w:szCs w:val="28"/>
        </w:rPr>
        <w:t>投标文件无法定代表人签字或签字人无法定代表人有效授权书的。</w:t>
      </w:r>
    </w:p>
    <w:p w14:paraId="321BAD17">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5.1.4  投标人业绩不能满足招标文件的要求。</w:t>
      </w:r>
    </w:p>
    <w:p w14:paraId="6ACC1F6C">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5.1.5  投标文件符合招标文件中规定废标的其他商务条款。</w:t>
      </w:r>
    </w:p>
    <w:p w14:paraId="33DE6ACC">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5.2   技术评标过程中，有下列情形之一者，应予废标：</w:t>
      </w:r>
    </w:p>
    <w:p w14:paraId="76B3D19F">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5.2.1  投标文件不能满足招标文件技术规格中主要参数要求或主要参数无技术资料支持的。</w:t>
      </w:r>
    </w:p>
    <w:p w14:paraId="6B7DC5D5">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 xml:space="preserve"> 5.2.2  投标文件技术规格中一般参数超出允许偏离的最大范围或最高项数的。</w:t>
      </w:r>
    </w:p>
    <w:p w14:paraId="531B6CFF">
      <w:pPr>
        <w:spacing w:line="460" w:lineRule="exact"/>
        <w:ind w:firstLine="560" w:firstLineChars="200"/>
        <w:rPr>
          <w:rFonts w:hint="eastAsia" w:ascii="仿宋" w:hAnsi="仿宋" w:eastAsia="仿宋"/>
          <w:spacing w:val="-20"/>
          <w:sz w:val="28"/>
          <w:szCs w:val="28"/>
        </w:rPr>
      </w:pPr>
      <w:r>
        <w:rPr>
          <w:rFonts w:hint="eastAsia" w:ascii="仿宋" w:hAnsi="仿宋" w:eastAsia="仿宋"/>
          <w:sz w:val="28"/>
          <w:szCs w:val="28"/>
        </w:rPr>
        <w:t xml:space="preserve"> 5.2.3  </w:t>
      </w:r>
      <w:r>
        <w:rPr>
          <w:rFonts w:hint="eastAsia" w:ascii="仿宋" w:hAnsi="仿宋" w:eastAsia="仿宋"/>
          <w:spacing w:val="-20"/>
          <w:sz w:val="28"/>
          <w:szCs w:val="28"/>
        </w:rPr>
        <w:t>投标文件技术规格中的响应与事实情况不符或虚假投标的。</w:t>
      </w:r>
    </w:p>
    <w:p w14:paraId="5E314CC6">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 xml:space="preserve"> 5.2.4  投标人复制招标文件的技术规格相关部分内容作为其投标文件中的一部分。</w:t>
      </w:r>
    </w:p>
    <w:p w14:paraId="245B357A">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5.2.5投标文件的澄清</w:t>
      </w:r>
    </w:p>
    <w:p w14:paraId="11270554">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开标以后，招标人可针对投标文件的内容要求投标人澄清，澄清问题一般以澄清函的形式进行。澄清函有投标代表签字、投标人公章，形成投标文件的有效补充。澄清内容解释权归招标方。澄清不得对原投标文件作实质性修改。</w:t>
      </w:r>
    </w:p>
    <w:p w14:paraId="7EA24ACA">
      <w:pPr>
        <w:spacing w:line="460" w:lineRule="exact"/>
        <w:rPr>
          <w:rFonts w:hint="eastAsia" w:ascii="仿宋" w:hAnsi="仿宋" w:eastAsia="仿宋"/>
          <w:b/>
          <w:bCs/>
          <w:sz w:val="28"/>
          <w:szCs w:val="28"/>
        </w:rPr>
      </w:pPr>
      <w:bookmarkStart w:id="0" w:name="_Hlk191028321"/>
      <w:r>
        <w:rPr>
          <w:rFonts w:hint="eastAsia" w:ascii="仿宋" w:hAnsi="仿宋" w:eastAsia="仿宋"/>
          <w:b/>
          <w:bCs/>
          <w:sz w:val="28"/>
          <w:szCs w:val="28"/>
        </w:rPr>
        <w:t>三、评标办法</w:t>
      </w:r>
    </w:p>
    <w:p w14:paraId="331C31C7">
      <w:pPr>
        <w:spacing w:line="460" w:lineRule="exact"/>
        <w:ind w:firstLine="560" w:firstLineChars="200"/>
        <w:rPr>
          <w:rFonts w:hint="eastAsia" w:ascii="仿宋" w:hAnsi="仿宋" w:eastAsia="仿宋"/>
          <w:color w:val="FF0000"/>
          <w:sz w:val="28"/>
          <w:szCs w:val="28"/>
        </w:rPr>
      </w:pPr>
      <w:r>
        <w:rPr>
          <w:rFonts w:hint="eastAsia" w:ascii="仿宋" w:hAnsi="仿宋" w:eastAsia="仿宋"/>
          <w:sz w:val="28"/>
          <w:szCs w:val="28"/>
        </w:rPr>
        <w:t>1、本次评标采用综合评比、评分。评标小组依照本细则，对所有有效投标文件的评标价格、商务部分、技术部分进行审查、评比、评分。</w:t>
      </w:r>
      <w:r>
        <w:rPr>
          <w:rFonts w:hint="eastAsia" w:ascii="仿宋" w:hAnsi="仿宋" w:eastAsia="仿宋"/>
          <w:color w:val="FF0000"/>
          <w:sz w:val="28"/>
          <w:szCs w:val="28"/>
        </w:rPr>
        <w:t>评标价格权重60%，商务部分权重10%，技术部分权重30%。</w:t>
      </w:r>
    </w:p>
    <w:p w14:paraId="5BAE65A6">
      <w:pPr>
        <w:spacing w:line="460" w:lineRule="exact"/>
        <w:ind w:firstLine="560" w:firstLineChars="200"/>
        <w:rPr>
          <w:rFonts w:hint="eastAsia" w:ascii="仿宋" w:hAnsi="仿宋" w:eastAsia="仿宋"/>
          <w:sz w:val="28"/>
          <w:szCs w:val="28"/>
        </w:rPr>
      </w:pPr>
      <w:r>
        <w:rPr>
          <w:rFonts w:ascii="仿宋" w:hAnsi="仿宋" w:eastAsia="仿宋"/>
          <w:sz w:val="28"/>
          <w:szCs w:val="28"/>
        </w:rPr>
        <w:t>投标人综合得分=</w:t>
      </w:r>
      <w:r>
        <w:rPr>
          <w:rFonts w:hint="eastAsia" w:ascii="仿宋" w:hAnsi="仿宋" w:eastAsia="仿宋"/>
          <w:sz w:val="28"/>
          <w:szCs w:val="28"/>
        </w:rPr>
        <w:t>评标价格</w:t>
      </w:r>
      <w:r>
        <w:rPr>
          <w:rFonts w:ascii="仿宋" w:hAnsi="仿宋" w:eastAsia="仿宋"/>
          <w:sz w:val="28"/>
          <w:szCs w:val="28"/>
        </w:rPr>
        <w:t>得分</w:t>
      </w:r>
      <w:r>
        <w:rPr>
          <w:rFonts w:hint="eastAsia" w:ascii="仿宋" w:hAnsi="仿宋" w:eastAsia="仿宋"/>
          <w:sz w:val="28"/>
          <w:szCs w:val="28"/>
        </w:rPr>
        <w:t>+商务部分</w:t>
      </w:r>
      <w:r>
        <w:rPr>
          <w:rFonts w:ascii="仿宋" w:hAnsi="仿宋" w:eastAsia="仿宋"/>
          <w:sz w:val="28"/>
          <w:szCs w:val="28"/>
        </w:rPr>
        <w:t>得分＋</w:t>
      </w:r>
      <w:r>
        <w:rPr>
          <w:rFonts w:hint="eastAsia" w:ascii="仿宋" w:hAnsi="仿宋" w:eastAsia="仿宋"/>
          <w:sz w:val="28"/>
          <w:szCs w:val="28"/>
        </w:rPr>
        <w:t>技术部分</w:t>
      </w:r>
      <w:r>
        <w:rPr>
          <w:rFonts w:ascii="仿宋" w:hAnsi="仿宋" w:eastAsia="仿宋"/>
          <w:sz w:val="28"/>
          <w:szCs w:val="28"/>
        </w:rPr>
        <w:t>得分</w:t>
      </w:r>
      <w:r>
        <w:rPr>
          <w:rFonts w:hint="eastAsia" w:ascii="仿宋" w:hAnsi="仿宋" w:eastAsia="仿宋"/>
          <w:sz w:val="28"/>
          <w:szCs w:val="28"/>
        </w:rPr>
        <w:t>。</w:t>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 xml:space="preserve"> </w:t>
      </w:r>
      <w:r>
        <w:rPr>
          <w:rFonts w:hint="eastAsia" w:ascii="仿宋" w:hAnsi="仿宋" w:eastAsia="仿宋"/>
          <w:sz w:val="28"/>
          <w:szCs w:val="28"/>
        </w:rPr>
        <w:t>各投标人的评标价格得分按以下公式计算：</w:t>
      </w:r>
    </w:p>
    <w:p w14:paraId="4C7E80A6">
      <w:pPr>
        <w:spacing w:before="234" w:beforeLines="75" w:after="234" w:afterLines="75" w:line="300" w:lineRule="exact"/>
        <w:ind w:firstLine="840" w:firstLineChars="300"/>
        <w:rPr>
          <w:rFonts w:hint="eastAsia" w:ascii="仿宋" w:hAnsi="仿宋" w:eastAsia="仿宋"/>
          <w:sz w:val="28"/>
          <w:szCs w:val="28"/>
        </w:rPr>
      </w:pPr>
      <w:r>
        <w:rPr>
          <w:rFonts w:hint="eastAsia" w:ascii="仿宋" w:hAnsi="仿宋" w:eastAsia="仿宋"/>
          <w:sz w:val="28"/>
          <w:szCs w:val="28"/>
        </w:rPr>
        <w:t xml:space="preserve">C＝60-10×（P-PMIN）/（PMAX-PMIN） </w:t>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p>
    <w:p w14:paraId="2C1A3700">
      <w:pPr>
        <w:spacing w:before="234" w:beforeLines="75" w:after="234" w:afterLines="75" w:line="280" w:lineRule="exact"/>
        <w:ind w:left="630" w:leftChars="300"/>
        <w:rPr>
          <w:rFonts w:hint="eastAsia" w:ascii="仿宋" w:hAnsi="仿宋" w:eastAsia="仿宋"/>
          <w:sz w:val="28"/>
          <w:szCs w:val="28"/>
        </w:rPr>
      </w:pPr>
      <w:r>
        <w:rPr>
          <w:rFonts w:hint="eastAsia" w:ascii="仿宋" w:hAnsi="仿宋" w:eastAsia="仿宋"/>
          <w:sz w:val="28"/>
          <w:szCs w:val="28"/>
        </w:rPr>
        <w:t xml:space="preserve">C：投标人的评标价格得分。 </w:t>
      </w:r>
      <w:r>
        <w:rPr>
          <w:rFonts w:ascii="仿宋" w:hAnsi="仿宋" w:eastAsia="仿宋"/>
          <w:sz w:val="28"/>
          <w:szCs w:val="28"/>
        </w:rPr>
        <w:t xml:space="preserve">   </w:t>
      </w:r>
      <w:r>
        <w:rPr>
          <w:rFonts w:ascii="仿宋" w:hAnsi="仿宋" w:eastAsia="仿宋"/>
          <w:sz w:val="28"/>
          <w:szCs w:val="28"/>
        </w:rPr>
        <w:tab/>
      </w:r>
      <w:r>
        <w:rPr>
          <w:rFonts w:hint="eastAsia" w:ascii="仿宋" w:hAnsi="仿宋" w:eastAsia="仿宋"/>
          <w:sz w:val="28"/>
          <w:szCs w:val="28"/>
        </w:rPr>
        <w:t>P：评标价格。</w:t>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 xml:space="preserve"> </w:t>
      </w:r>
      <w:r>
        <w:rPr>
          <w:rFonts w:hint="eastAsia" w:ascii="仿宋" w:hAnsi="仿宋" w:eastAsia="仿宋"/>
          <w:sz w:val="28"/>
          <w:szCs w:val="28"/>
        </w:rPr>
        <w:t>PMIN：最低评标价格</w:t>
      </w:r>
      <w:r>
        <w:rPr>
          <w:rFonts w:hint="eastAsia" w:ascii="宋体" w:hAnsi="宋体"/>
          <w:szCs w:val="21"/>
        </w:rPr>
        <w:t xml:space="preserve">。 </w:t>
      </w:r>
      <w:r>
        <w:rPr>
          <w:rFonts w:ascii="宋体" w:hAnsi="宋体"/>
          <w:szCs w:val="21"/>
        </w:rPr>
        <w:t xml:space="preserve">            </w:t>
      </w:r>
      <w:r>
        <w:rPr>
          <w:rFonts w:hint="eastAsia" w:ascii="仿宋" w:hAnsi="仿宋" w:eastAsia="仿宋"/>
          <w:sz w:val="28"/>
          <w:szCs w:val="28"/>
        </w:rPr>
        <w:t>PMAX：最高评标价格</w:t>
      </w:r>
    </w:p>
    <w:p w14:paraId="04BCB48D">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2、评标小组全体成员对每个投标人进行审查、评比、评分，各投标单位在都能满足招标文件及甲方使用需求的情况下，</w:t>
      </w:r>
      <w:r>
        <w:rPr>
          <w:rFonts w:hint="eastAsia" w:ascii="仿宋" w:hAnsi="仿宋" w:eastAsia="仿宋"/>
          <w:sz w:val="28"/>
          <w:szCs w:val="28"/>
          <w:u w:val="single"/>
        </w:rPr>
        <w:t>综合评分高者优先列为中标候选单位</w:t>
      </w:r>
      <w:r>
        <w:rPr>
          <w:rFonts w:hint="eastAsia" w:ascii="仿宋" w:hAnsi="仿宋" w:eastAsia="仿宋"/>
          <w:sz w:val="28"/>
          <w:szCs w:val="28"/>
        </w:rPr>
        <w:t>。</w:t>
      </w:r>
    </w:p>
    <w:p w14:paraId="56672584">
      <w:pPr>
        <w:spacing w:line="460" w:lineRule="exact"/>
        <w:ind w:firstLine="560" w:firstLineChars="200"/>
        <w:jc w:val="left"/>
        <w:rPr>
          <w:rFonts w:hint="eastAsia" w:ascii="仿宋" w:hAnsi="仿宋" w:eastAsia="仿宋"/>
          <w:sz w:val="28"/>
          <w:szCs w:val="28"/>
        </w:rPr>
      </w:pPr>
      <w:r>
        <w:rPr>
          <w:rFonts w:hint="eastAsia" w:ascii="仿宋" w:hAnsi="仿宋" w:eastAsia="仿宋"/>
          <w:sz w:val="28"/>
          <w:szCs w:val="28"/>
        </w:rPr>
        <w:t>3、评标活动中发现有争议的内容时，按照少数服从多数的原则，由评标小组确定。</w:t>
      </w:r>
    </w:p>
    <w:p w14:paraId="094BD36B">
      <w:pPr>
        <w:spacing w:line="460" w:lineRule="exact"/>
        <w:ind w:firstLine="560" w:firstLineChars="200"/>
        <w:rPr>
          <w:rFonts w:hint="eastAsia" w:ascii="仿宋" w:hAnsi="仿宋" w:eastAsia="仿宋"/>
          <w:sz w:val="28"/>
          <w:szCs w:val="28"/>
        </w:rPr>
      </w:pPr>
      <w:r>
        <w:rPr>
          <w:rFonts w:ascii="仿宋" w:hAnsi="仿宋" w:eastAsia="仿宋"/>
          <w:sz w:val="28"/>
          <w:szCs w:val="28"/>
        </w:rPr>
        <w:t>4</w:t>
      </w:r>
      <w:r>
        <w:rPr>
          <w:rFonts w:hint="eastAsia" w:ascii="仿宋" w:hAnsi="仿宋" w:eastAsia="仿宋"/>
          <w:sz w:val="28"/>
          <w:szCs w:val="28"/>
        </w:rPr>
        <w:t>、经评标小组全体认定低于成本价的投标，将被废标。其报价不作为评分依据。</w:t>
      </w:r>
    </w:p>
    <w:p w14:paraId="2D55C55D">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5、商务部分评分表（10分）</w:t>
      </w:r>
    </w:p>
    <w:tbl>
      <w:tblPr>
        <w:tblStyle w:val="49"/>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691"/>
        <w:gridCol w:w="1134"/>
        <w:gridCol w:w="709"/>
        <w:gridCol w:w="4961"/>
      </w:tblGrid>
      <w:tr w14:paraId="1D376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exact"/>
          <w:jc w:val="center"/>
        </w:trPr>
        <w:tc>
          <w:tcPr>
            <w:tcW w:w="714" w:type="dxa"/>
            <w:vAlign w:val="center"/>
          </w:tcPr>
          <w:p w14:paraId="42430D29">
            <w:pPr>
              <w:jc w:val="center"/>
              <w:rPr>
                <w:rFonts w:hint="eastAsia" w:ascii="仿宋" w:hAnsi="仿宋" w:eastAsia="仿宋" w:cs="仿宋"/>
                <w:sz w:val="22"/>
              </w:rPr>
            </w:pPr>
            <w:r>
              <w:rPr>
                <w:rFonts w:hint="eastAsia" w:ascii="仿宋" w:hAnsi="仿宋" w:eastAsia="仿宋" w:cs="仿宋"/>
                <w:sz w:val="22"/>
              </w:rPr>
              <w:t>序号</w:t>
            </w:r>
          </w:p>
        </w:tc>
        <w:tc>
          <w:tcPr>
            <w:tcW w:w="1691" w:type="dxa"/>
            <w:vAlign w:val="center"/>
          </w:tcPr>
          <w:p w14:paraId="215CC346">
            <w:pPr>
              <w:jc w:val="center"/>
              <w:rPr>
                <w:rFonts w:hint="eastAsia" w:ascii="仿宋" w:hAnsi="仿宋" w:eastAsia="仿宋" w:cs="仿宋"/>
                <w:sz w:val="22"/>
              </w:rPr>
            </w:pPr>
            <w:r>
              <w:rPr>
                <w:rFonts w:hint="eastAsia" w:ascii="仿宋" w:hAnsi="仿宋" w:eastAsia="仿宋" w:cs="仿宋"/>
                <w:sz w:val="22"/>
              </w:rPr>
              <w:t>评分因素</w:t>
            </w:r>
          </w:p>
        </w:tc>
        <w:tc>
          <w:tcPr>
            <w:tcW w:w="1134" w:type="dxa"/>
            <w:vAlign w:val="center"/>
          </w:tcPr>
          <w:p w14:paraId="7EBC250D">
            <w:pPr>
              <w:jc w:val="center"/>
              <w:rPr>
                <w:rFonts w:hint="eastAsia" w:ascii="仿宋" w:hAnsi="仿宋" w:eastAsia="仿宋" w:cs="仿宋"/>
                <w:sz w:val="22"/>
              </w:rPr>
            </w:pPr>
            <w:r>
              <w:rPr>
                <w:rFonts w:hint="eastAsia" w:ascii="仿宋" w:hAnsi="仿宋" w:eastAsia="仿宋" w:cs="仿宋"/>
                <w:sz w:val="22"/>
              </w:rPr>
              <w:t>考核内容</w:t>
            </w:r>
          </w:p>
        </w:tc>
        <w:tc>
          <w:tcPr>
            <w:tcW w:w="709" w:type="dxa"/>
            <w:vAlign w:val="center"/>
          </w:tcPr>
          <w:p w14:paraId="12E64EA6">
            <w:pPr>
              <w:jc w:val="center"/>
              <w:rPr>
                <w:rFonts w:hint="eastAsia" w:ascii="仿宋" w:hAnsi="仿宋" w:eastAsia="仿宋" w:cs="仿宋"/>
                <w:sz w:val="22"/>
              </w:rPr>
            </w:pPr>
            <w:r>
              <w:rPr>
                <w:rFonts w:hint="eastAsia" w:ascii="仿宋" w:hAnsi="仿宋" w:eastAsia="仿宋" w:cs="仿宋"/>
                <w:sz w:val="22"/>
              </w:rPr>
              <w:t>标准分</w:t>
            </w:r>
          </w:p>
        </w:tc>
        <w:tc>
          <w:tcPr>
            <w:tcW w:w="4961" w:type="dxa"/>
            <w:vAlign w:val="center"/>
          </w:tcPr>
          <w:p w14:paraId="2863F193">
            <w:pPr>
              <w:jc w:val="center"/>
              <w:rPr>
                <w:rFonts w:hint="eastAsia" w:ascii="仿宋" w:hAnsi="仿宋" w:eastAsia="仿宋" w:cs="仿宋"/>
                <w:sz w:val="22"/>
              </w:rPr>
            </w:pPr>
            <w:r>
              <w:rPr>
                <w:rFonts w:hint="eastAsia" w:ascii="仿宋" w:hAnsi="仿宋" w:eastAsia="仿宋" w:cs="仿宋"/>
                <w:sz w:val="22"/>
              </w:rPr>
              <w:t>评分标准说明</w:t>
            </w:r>
          </w:p>
        </w:tc>
      </w:tr>
      <w:tr w14:paraId="0666E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3" w:hRule="exact"/>
          <w:jc w:val="center"/>
        </w:trPr>
        <w:tc>
          <w:tcPr>
            <w:tcW w:w="714" w:type="dxa"/>
            <w:vAlign w:val="center"/>
          </w:tcPr>
          <w:p w14:paraId="70B2C788">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1</w:t>
            </w:r>
          </w:p>
        </w:tc>
        <w:tc>
          <w:tcPr>
            <w:tcW w:w="1691" w:type="dxa"/>
            <w:vAlign w:val="center"/>
          </w:tcPr>
          <w:p w14:paraId="159DA199">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财务状况（1.5分）</w:t>
            </w:r>
          </w:p>
        </w:tc>
        <w:tc>
          <w:tcPr>
            <w:tcW w:w="1134" w:type="dxa"/>
            <w:vAlign w:val="center"/>
          </w:tcPr>
          <w:p w14:paraId="5B4D215A">
            <w:pPr>
              <w:spacing w:line="240" w:lineRule="exact"/>
              <w:rPr>
                <w:rFonts w:hint="eastAsia" w:ascii="仿宋" w:hAnsi="仿宋" w:eastAsia="仿宋" w:cs="仿宋"/>
                <w:sz w:val="18"/>
                <w:szCs w:val="18"/>
              </w:rPr>
            </w:pPr>
            <w:r>
              <w:rPr>
                <w:rFonts w:hint="eastAsia" w:ascii="仿宋" w:hAnsi="仿宋" w:eastAsia="仿宋" w:cs="仿宋"/>
                <w:sz w:val="18"/>
                <w:szCs w:val="18"/>
              </w:rPr>
              <w:t>财务状况</w:t>
            </w:r>
          </w:p>
        </w:tc>
        <w:tc>
          <w:tcPr>
            <w:tcW w:w="709" w:type="dxa"/>
            <w:vAlign w:val="center"/>
          </w:tcPr>
          <w:p w14:paraId="3905716E">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1.5</w:t>
            </w:r>
          </w:p>
        </w:tc>
        <w:tc>
          <w:tcPr>
            <w:tcW w:w="4961" w:type="dxa"/>
            <w:vAlign w:val="center"/>
          </w:tcPr>
          <w:p w14:paraId="20DD6CD8">
            <w:pPr>
              <w:snapToGrid w:val="0"/>
              <w:spacing w:line="240" w:lineRule="exact"/>
              <w:rPr>
                <w:rFonts w:hint="eastAsia" w:ascii="仿宋" w:hAnsi="仿宋" w:eastAsia="仿宋"/>
                <w:sz w:val="18"/>
                <w:szCs w:val="18"/>
              </w:rPr>
            </w:pPr>
            <w:r>
              <w:rPr>
                <w:rFonts w:hint="eastAsia" w:ascii="仿宋" w:hAnsi="仿宋" w:eastAsia="仿宋"/>
                <w:sz w:val="18"/>
                <w:szCs w:val="18"/>
              </w:rPr>
              <w:t>投标人提供近三年（2022年度、2023年度、2024年度）完整审计报告，企业连续三年均盈利得1.5分，两年（含两年）显示盈利得1分，两年以下显示盈利得0分。</w:t>
            </w:r>
          </w:p>
          <w:p w14:paraId="69A552D0">
            <w:pPr>
              <w:spacing w:line="240" w:lineRule="exact"/>
              <w:rPr>
                <w:rFonts w:hint="eastAsia" w:ascii="仿宋" w:hAnsi="仿宋" w:eastAsia="仿宋" w:cs="仿宋"/>
                <w:sz w:val="18"/>
                <w:szCs w:val="18"/>
              </w:rPr>
            </w:pPr>
            <w:r>
              <w:rPr>
                <w:rFonts w:hint="eastAsia" w:ascii="仿宋" w:hAnsi="仿宋" w:eastAsia="仿宋"/>
                <w:sz w:val="18"/>
                <w:szCs w:val="18"/>
              </w:rPr>
              <w:t>（须在投标文件中附审计报告的复印件并加盖公章，否则不得分，公司成立不足3年的评审标准同上。）</w:t>
            </w:r>
          </w:p>
        </w:tc>
      </w:tr>
      <w:tr w14:paraId="391E4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3" w:hRule="exact"/>
          <w:jc w:val="center"/>
        </w:trPr>
        <w:tc>
          <w:tcPr>
            <w:tcW w:w="714" w:type="dxa"/>
            <w:vAlign w:val="center"/>
          </w:tcPr>
          <w:p w14:paraId="34994CC7">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2</w:t>
            </w:r>
          </w:p>
        </w:tc>
        <w:tc>
          <w:tcPr>
            <w:tcW w:w="1691" w:type="dxa"/>
            <w:vAlign w:val="center"/>
          </w:tcPr>
          <w:p w14:paraId="78232E81">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体系认证证书</w:t>
            </w:r>
            <w:r>
              <w:rPr>
                <w:rFonts w:ascii="仿宋" w:hAnsi="仿宋" w:eastAsia="仿宋" w:cs="仿宋"/>
                <w:sz w:val="18"/>
                <w:szCs w:val="18"/>
              </w:rPr>
              <w:t>（</w:t>
            </w:r>
            <w:r>
              <w:rPr>
                <w:rFonts w:hint="eastAsia" w:ascii="仿宋" w:hAnsi="仿宋" w:eastAsia="仿宋" w:cs="仿宋"/>
                <w:sz w:val="18"/>
                <w:szCs w:val="18"/>
              </w:rPr>
              <w:t>1.5</w:t>
            </w:r>
            <w:r>
              <w:rPr>
                <w:rFonts w:ascii="仿宋" w:hAnsi="仿宋" w:eastAsia="仿宋" w:cs="仿宋"/>
                <w:sz w:val="18"/>
                <w:szCs w:val="18"/>
              </w:rPr>
              <w:t>分）</w:t>
            </w:r>
          </w:p>
        </w:tc>
        <w:tc>
          <w:tcPr>
            <w:tcW w:w="1134" w:type="dxa"/>
            <w:vAlign w:val="center"/>
          </w:tcPr>
          <w:p w14:paraId="78BBFE40">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体系认证</w:t>
            </w:r>
          </w:p>
        </w:tc>
        <w:tc>
          <w:tcPr>
            <w:tcW w:w="709" w:type="dxa"/>
            <w:vAlign w:val="center"/>
          </w:tcPr>
          <w:p w14:paraId="5F15D2F6">
            <w:pPr>
              <w:spacing w:line="240" w:lineRule="exact"/>
              <w:jc w:val="center"/>
              <w:rPr>
                <w:rFonts w:hint="eastAsia" w:ascii="仿宋" w:hAnsi="仿宋" w:eastAsia="仿宋" w:cs="仿宋"/>
                <w:sz w:val="18"/>
                <w:szCs w:val="18"/>
              </w:rPr>
            </w:pPr>
          </w:p>
          <w:p w14:paraId="634B0EFE">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1.5</w:t>
            </w:r>
          </w:p>
        </w:tc>
        <w:tc>
          <w:tcPr>
            <w:tcW w:w="4961" w:type="dxa"/>
            <w:vAlign w:val="center"/>
          </w:tcPr>
          <w:p w14:paraId="518B0821">
            <w:pPr>
              <w:snapToGrid w:val="0"/>
              <w:spacing w:line="240" w:lineRule="exact"/>
              <w:jc w:val="left"/>
              <w:rPr>
                <w:rFonts w:hint="eastAsia" w:ascii="仿宋" w:hAnsi="仿宋" w:eastAsia="仿宋" w:cs="仿宋"/>
                <w:sz w:val="18"/>
                <w:szCs w:val="18"/>
              </w:rPr>
            </w:pPr>
            <w:r>
              <w:rPr>
                <w:rFonts w:ascii="仿宋" w:hAnsi="仿宋" w:eastAsia="仿宋" w:cs="仿宋"/>
                <w:sz w:val="18"/>
                <w:szCs w:val="18"/>
              </w:rPr>
              <w:t>投标人具有质量管理体系认证证书、环境管理体系认证证书、职业健康安全管理体系认证证书</w:t>
            </w:r>
            <w:r>
              <w:rPr>
                <w:rFonts w:hint="eastAsia" w:ascii="仿宋" w:hAnsi="仿宋" w:eastAsia="仿宋" w:cs="仿宋"/>
                <w:sz w:val="18"/>
                <w:szCs w:val="18"/>
              </w:rPr>
              <w:t>，</w:t>
            </w:r>
            <w:r>
              <w:rPr>
                <w:rFonts w:ascii="仿宋" w:hAnsi="仿宋" w:eastAsia="仿宋" w:cs="仿宋"/>
                <w:sz w:val="18"/>
                <w:szCs w:val="18"/>
              </w:rPr>
              <w:t>且都在有效期内</w:t>
            </w:r>
            <w:r>
              <w:rPr>
                <w:rFonts w:hint="eastAsia" w:ascii="仿宋" w:hAnsi="仿宋" w:eastAsia="仿宋" w:cs="仿宋"/>
                <w:sz w:val="18"/>
                <w:szCs w:val="18"/>
              </w:rPr>
              <w:t>的</w:t>
            </w:r>
            <w:r>
              <w:rPr>
                <w:rFonts w:ascii="仿宋" w:hAnsi="仿宋" w:eastAsia="仿宋" w:cs="仿宋"/>
                <w:sz w:val="18"/>
                <w:szCs w:val="18"/>
              </w:rPr>
              <w:t>。以上证书</w:t>
            </w:r>
            <w:r>
              <w:rPr>
                <w:rFonts w:hint="eastAsia" w:ascii="仿宋" w:hAnsi="仿宋" w:eastAsia="仿宋" w:cs="仿宋"/>
                <w:sz w:val="18"/>
                <w:szCs w:val="18"/>
              </w:rPr>
              <w:t>每具备一个</w:t>
            </w:r>
            <w:r>
              <w:rPr>
                <w:rFonts w:ascii="仿宋" w:hAnsi="仿宋" w:eastAsia="仿宋" w:cs="仿宋"/>
                <w:sz w:val="18"/>
                <w:szCs w:val="18"/>
              </w:rPr>
              <w:t>得</w:t>
            </w:r>
            <w:r>
              <w:rPr>
                <w:rFonts w:hint="eastAsia" w:ascii="仿宋" w:hAnsi="仿宋" w:eastAsia="仿宋" w:cs="仿宋"/>
                <w:sz w:val="18"/>
                <w:szCs w:val="18"/>
              </w:rPr>
              <w:t>0.5</w:t>
            </w:r>
            <w:r>
              <w:rPr>
                <w:rFonts w:ascii="仿宋" w:hAnsi="仿宋" w:eastAsia="仿宋" w:cs="仿宋"/>
                <w:sz w:val="18"/>
                <w:szCs w:val="18"/>
              </w:rPr>
              <w:t>分</w:t>
            </w:r>
            <w:r>
              <w:rPr>
                <w:rFonts w:hint="eastAsia" w:ascii="仿宋" w:hAnsi="仿宋" w:eastAsia="仿宋" w:cs="仿宋"/>
                <w:sz w:val="18"/>
                <w:szCs w:val="18"/>
              </w:rPr>
              <w:t>，否则不得分。</w:t>
            </w:r>
          </w:p>
          <w:p w14:paraId="5DC3BC5E">
            <w:pPr>
              <w:spacing w:line="240" w:lineRule="exact"/>
              <w:rPr>
                <w:rFonts w:hint="eastAsia" w:ascii="仿宋" w:hAnsi="仿宋" w:eastAsia="仿宋" w:cs="仿宋"/>
                <w:sz w:val="18"/>
                <w:szCs w:val="18"/>
              </w:rPr>
            </w:pPr>
            <w:r>
              <w:rPr>
                <w:rFonts w:ascii="仿宋" w:hAnsi="仿宋" w:eastAsia="仿宋" w:cs="仿宋"/>
                <w:sz w:val="18"/>
                <w:szCs w:val="18"/>
              </w:rPr>
              <w:t>（须在投标文件中附证书复印件和国家认证认可监督管理委员会网站（www.cnca.gov.cn）上的查询截图并加盖公章，否则不得分。）</w:t>
            </w:r>
          </w:p>
        </w:tc>
      </w:tr>
      <w:tr w14:paraId="0FEC1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exact"/>
          <w:jc w:val="center"/>
        </w:trPr>
        <w:tc>
          <w:tcPr>
            <w:tcW w:w="714" w:type="dxa"/>
            <w:vAlign w:val="center"/>
          </w:tcPr>
          <w:p w14:paraId="5AC769DC">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3</w:t>
            </w:r>
          </w:p>
        </w:tc>
        <w:tc>
          <w:tcPr>
            <w:tcW w:w="1691" w:type="dxa"/>
            <w:vAlign w:val="center"/>
          </w:tcPr>
          <w:p w14:paraId="2F3515DC">
            <w:pPr>
              <w:snapToGrid w:val="0"/>
              <w:spacing w:line="240" w:lineRule="exact"/>
              <w:jc w:val="center"/>
              <w:rPr>
                <w:rFonts w:hint="eastAsia" w:ascii="仿宋" w:hAnsi="仿宋" w:eastAsia="仿宋"/>
                <w:sz w:val="18"/>
                <w:szCs w:val="18"/>
              </w:rPr>
            </w:pPr>
            <w:r>
              <w:rPr>
                <w:rFonts w:ascii="仿宋" w:hAnsi="仿宋" w:eastAsia="仿宋"/>
                <w:sz w:val="18"/>
                <w:szCs w:val="18"/>
              </w:rPr>
              <w:t>信用评价</w:t>
            </w:r>
          </w:p>
          <w:p w14:paraId="229452D8">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（1.5分）</w:t>
            </w:r>
          </w:p>
        </w:tc>
        <w:tc>
          <w:tcPr>
            <w:tcW w:w="1134" w:type="dxa"/>
            <w:vAlign w:val="center"/>
          </w:tcPr>
          <w:p w14:paraId="2F3AEB9B">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信用</w:t>
            </w:r>
          </w:p>
        </w:tc>
        <w:tc>
          <w:tcPr>
            <w:tcW w:w="709" w:type="dxa"/>
            <w:vAlign w:val="center"/>
          </w:tcPr>
          <w:p w14:paraId="026D6990">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1.5</w:t>
            </w:r>
          </w:p>
        </w:tc>
        <w:tc>
          <w:tcPr>
            <w:tcW w:w="4961" w:type="dxa"/>
            <w:vAlign w:val="center"/>
          </w:tcPr>
          <w:p w14:paraId="3A775B08">
            <w:pPr>
              <w:snapToGrid w:val="0"/>
              <w:spacing w:line="240" w:lineRule="exact"/>
              <w:rPr>
                <w:rFonts w:hint="eastAsia" w:ascii="仿宋" w:hAnsi="仿宋" w:eastAsia="仿宋" w:cs="仿宋"/>
                <w:sz w:val="18"/>
                <w:szCs w:val="18"/>
              </w:rPr>
            </w:pPr>
            <w:r>
              <w:rPr>
                <w:rFonts w:ascii="仿宋" w:hAnsi="仿宋" w:eastAsia="仿宋" w:cs="仿宋"/>
                <w:sz w:val="18"/>
                <w:szCs w:val="18"/>
              </w:rPr>
              <w:t>20</w:t>
            </w:r>
            <w:r>
              <w:rPr>
                <w:rFonts w:hint="eastAsia" w:ascii="仿宋" w:hAnsi="仿宋" w:eastAsia="仿宋" w:cs="仿宋"/>
                <w:sz w:val="18"/>
                <w:szCs w:val="18"/>
              </w:rPr>
              <w:t>22</w:t>
            </w:r>
            <w:r>
              <w:rPr>
                <w:rFonts w:ascii="仿宋" w:hAnsi="仿宋" w:eastAsia="仿宋" w:cs="仿宋"/>
                <w:sz w:val="18"/>
                <w:szCs w:val="18"/>
              </w:rPr>
              <w:t>年以来连续三年被评为AAA级的企业得</w:t>
            </w:r>
            <w:r>
              <w:rPr>
                <w:rFonts w:hint="eastAsia" w:ascii="仿宋" w:hAnsi="仿宋" w:eastAsia="仿宋" w:cs="仿宋"/>
                <w:sz w:val="18"/>
                <w:szCs w:val="18"/>
              </w:rPr>
              <w:t>1.5</w:t>
            </w:r>
            <w:r>
              <w:rPr>
                <w:rFonts w:ascii="仿宋" w:hAnsi="仿宋" w:eastAsia="仿宋" w:cs="仿宋"/>
                <w:sz w:val="18"/>
                <w:szCs w:val="18"/>
              </w:rPr>
              <w:t>分；连续两年被评为AAA级的企业得</w:t>
            </w:r>
            <w:r>
              <w:rPr>
                <w:rFonts w:hint="eastAsia" w:ascii="仿宋" w:hAnsi="仿宋" w:eastAsia="仿宋" w:cs="仿宋"/>
                <w:sz w:val="18"/>
                <w:szCs w:val="18"/>
              </w:rPr>
              <w:t>1</w:t>
            </w:r>
            <w:r>
              <w:rPr>
                <w:rFonts w:ascii="仿宋" w:hAnsi="仿宋" w:eastAsia="仿宋" w:cs="仿宋"/>
                <w:sz w:val="18"/>
                <w:szCs w:val="18"/>
              </w:rPr>
              <w:t>分；一年内被评为AAA级的企业得</w:t>
            </w:r>
            <w:r>
              <w:rPr>
                <w:rFonts w:hint="eastAsia" w:ascii="仿宋" w:hAnsi="仿宋" w:eastAsia="仿宋" w:cs="仿宋"/>
                <w:sz w:val="18"/>
                <w:szCs w:val="18"/>
              </w:rPr>
              <w:t>0.5</w:t>
            </w:r>
            <w:r>
              <w:rPr>
                <w:rFonts w:ascii="仿宋" w:hAnsi="仿宋" w:eastAsia="仿宋" w:cs="仿宋"/>
                <w:sz w:val="18"/>
                <w:szCs w:val="18"/>
              </w:rPr>
              <w:t>分。（须</w:t>
            </w:r>
            <w:r>
              <w:rPr>
                <w:rFonts w:hint="eastAsia" w:ascii="仿宋" w:hAnsi="仿宋" w:eastAsia="仿宋" w:cs="仿宋"/>
                <w:sz w:val="18"/>
                <w:szCs w:val="18"/>
              </w:rPr>
              <w:t>在</w:t>
            </w:r>
            <w:r>
              <w:rPr>
                <w:rFonts w:ascii="仿宋" w:hAnsi="仿宋" w:eastAsia="仿宋" w:cs="仿宋"/>
                <w:sz w:val="18"/>
                <w:szCs w:val="18"/>
              </w:rPr>
              <w:t>投标文件中附以上证件复印件并加盖公章，否则不得分。）</w:t>
            </w:r>
          </w:p>
        </w:tc>
      </w:tr>
      <w:tr w14:paraId="34DAD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exact"/>
          <w:jc w:val="center"/>
        </w:trPr>
        <w:tc>
          <w:tcPr>
            <w:tcW w:w="714" w:type="dxa"/>
            <w:vMerge w:val="restart"/>
            <w:vAlign w:val="center"/>
          </w:tcPr>
          <w:p w14:paraId="6E702864">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4</w:t>
            </w:r>
          </w:p>
        </w:tc>
        <w:tc>
          <w:tcPr>
            <w:tcW w:w="1691" w:type="dxa"/>
            <w:vMerge w:val="restart"/>
            <w:vAlign w:val="center"/>
          </w:tcPr>
          <w:p w14:paraId="5FCA63C9">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进度保证</w:t>
            </w:r>
          </w:p>
          <w:p w14:paraId="7262FFBE">
            <w:pPr>
              <w:snapToGrid w:val="0"/>
              <w:spacing w:line="240" w:lineRule="exact"/>
              <w:jc w:val="center"/>
              <w:rPr>
                <w:rFonts w:hint="eastAsia" w:ascii="仿宋" w:hAnsi="仿宋" w:eastAsia="仿宋"/>
                <w:sz w:val="18"/>
                <w:szCs w:val="18"/>
              </w:rPr>
            </w:pPr>
            <w:r>
              <w:rPr>
                <w:rFonts w:hint="eastAsia" w:ascii="仿宋" w:hAnsi="仿宋" w:eastAsia="仿宋" w:cs="仿宋"/>
                <w:sz w:val="18"/>
                <w:szCs w:val="18"/>
              </w:rPr>
              <w:t>（1.5分）</w:t>
            </w:r>
          </w:p>
        </w:tc>
        <w:tc>
          <w:tcPr>
            <w:tcW w:w="1134" w:type="dxa"/>
            <w:vAlign w:val="center"/>
          </w:tcPr>
          <w:p w14:paraId="5AFA012D">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合同设备交货进度</w:t>
            </w:r>
          </w:p>
        </w:tc>
        <w:tc>
          <w:tcPr>
            <w:tcW w:w="709" w:type="dxa"/>
            <w:vAlign w:val="center"/>
          </w:tcPr>
          <w:p w14:paraId="440BFD94">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0.5</w:t>
            </w:r>
          </w:p>
        </w:tc>
        <w:tc>
          <w:tcPr>
            <w:tcW w:w="4961" w:type="dxa"/>
            <w:vAlign w:val="center"/>
          </w:tcPr>
          <w:p w14:paraId="1B0BF5A1">
            <w:pPr>
              <w:snapToGrid w:val="0"/>
              <w:spacing w:line="240" w:lineRule="exact"/>
              <w:rPr>
                <w:rFonts w:hint="eastAsia" w:ascii="仿宋" w:hAnsi="仿宋" w:eastAsia="仿宋" w:cs="仿宋"/>
                <w:sz w:val="18"/>
                <w:szCs w:val="18"/>
              </w:rPr>
            </w:pPr>
            <w:r>
              <w:rPr>
                <w:rFonts w:hint="eastAsia" w:ascii="仿宋" w:hAnsi="仿宋" w:eastAsia="仿宋" w:cs="仿宋"/>
                <w:sz w:val="18"/>
                <w:szCs w:val="18"/>
              </w:rPr>
              <w:t>依据投标人差异评分，0-0.5分。</w:t>
            </w:r>
          </w:p>
        </w:tc>
      </w:tr>
      <w:tr w14:paraId="06C50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exact"/>
          <w:jc w:val="center"/>
        </w:trPr>
        <w:tc>
          <w:tcPr>
            <w:tcW w:w="714" w:type="dxa"/>
            <w:vMerge w:val="continue"/>
            <w:vAlign w:val="center"/>
          </w:tcPr>
          <w:p w14:paraId="49E99C3F">
            <w:pPr>
              <w:spacing w:line="240" w:lineRule="exact"/>
              <w:jc w:val="center"/>
              <w:rPr>
                <w:rFonts w:hint="eastAsia" w:ascii="仿宋" w:hAnsi="仿宋" w:eastAsia="仿宋" w:cs="仿宋"/>
                <w:sz w:val="18"/>
                <w:szCs w:val="18"/>
              </w:rPr>
            </w:pPr>
          </w:p>
        </w:tc>
        <w:tc>
          <w:tcPr>
            <w:tcW w:w="1691" w:type="dxa"/>
            <w:vMerge w:val="continue"/>
            <w:vAlign w:val="center"/>
          </w:tcPr>
          <w:p w14:paraId="221C0437">
            <w:pPr>
              <w:snapToGrid w:val="0"/>
              <w:spacing w:line="240" w:lineRule="exact"/>
              <w:jc w:val="center"/>
              <w:rPr>
                <w:rFonts w:hint="eastAsia" w:ascii="仿宋" w:hAnsi="仿宋" w:eastAsia="仿宋"/>
                <w:sz w:val="18"/>
                <w:szCs w:val="18"/>
              </w:rPr>
            </w:pPr>
          </w:p>
        </w:tc>
        <w:tc>
          <w:tcPr>
            <w:tcW w:w="1134" w:type="dxa"/>
            <w:vAlign w:val="center"/>
          </w:tcPr>
          <w:p w14:paraId="27DA77F7">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技术资料交付进度</w:t>
            </w:r>
          </w:p>
        </w:tc>
        <w:tc>
          <w:tcPr>
            <w:tcW w:w="709" w:type="dxa"/>
            <w:vAlign w:val="center"/>
          </w:tcPr>
          <w:p w14:paraId="03390B3C">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0.5</w:t>
            </w:r>
          </w:p>
        </w:tc>
        <w:tc>
          <w:tcPr>
            <w:tcW w:w="4961" w:type="dxa"/>
            <w:vAlign w:val="center"/>
          </w:tcPr>
          <w:p w14:paraId="3E70C1BB">
            <w:pPr>
              <w:snapToGrid w:val="0"/>
              <w:spacing w:line="240" w:lineRule="exact"/>
              <w:rPr>
                <w:rFonts w:hint="eastAsia" w:ascii="仿宋" w:hAnsi="仿宋" w:eastAsia="仿宋" w:cs="仿宋"/>
                <w:sz w:val="18"/>
                <w:szCs w:val="18"/>
              </w:rPr>
            </w:pPr>
            <w:r>
              <w:rPr>
                <w:rFonts w:hint="eastAsia" w:ascii="仿宋" w:hAnsi="仿宋" w:eastAsia="仿宋" w:cs="仿宋"/>
                <w:sz w:val="18"/>
                <w:szCs w:val="18"/>
              </w:rPr>
              <w:t>依据投标人差异评分，0-0.5分。</w:t>
            </w:r>
          </w:p>
        </w:tc>
      </w:tr>
      <w:tr w14:paraId="3C809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exact"/>
          <w:jc w:val="center"/>
        </w:trPr>
        <w:tc>
          <w:tcPr>
            <w:tcW w:w="714" w:type="dxa"/>
            <w:vMerge w:val="continue"/>
            <w:vAlign w:val="center"/>
          </w:tcPr>
          <w:p w14:paraId="4EC3195D">
            <w:pPr>
              <w:spacing w:line="240" w:lineRule="exact"/>
              <w:jc w:val="center"/>
              <w:rPr>
                <w:rFonts w:hint="eastAsia" w:ascii="仿宋" w:hAnsi="仿宋" w:eastAsia="仿宋" w:cs="仿宋"/>
                <w:sz w:val="18"/>
                <w:szCs w:val="18"/>
              </w:rPr>
            </w:pPr>
          </w:p>
        </w:tc>
        <w:tc>
          <w:tcPr>
            <w:tcW w:w="1691" w:type="dxa"/>
            <w:vMerge w:val="continue"/>
            <w:vAlign w:val="center"/>
          </w:tcPr>
          <w:p w14:paraId="2DB0D483">
            <w:pPr>
              <w:snapToGrid w:val="0"/>
              <w:spacing w:line="240" w:lineRule="exact"/>
              <w:jc w:val="center"/>
              <w:rPr>
                <w:rFonts w:hint="eastAsia" w:ascii="仿宋" w:hAnsi="仿宋" w:eastAsia="仿宋"/>
                <w:sz w:val="18"/>
                <w:szCs w:val="18"/>
              </w:rPr>
            </w:pPr>
          </w:p>
        </w:tc>
        <w:tc>
          <w:tcPr>
            <w:tcW w:w="1134" w:type="dxa"/>
            <w:vAlign w:val="center"/>
          </w:tcPr>
          <w:p w14:paraId="73D56341">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进度保证及相应措施</w:t>
            </w:r>
          </w:p>
        </w:tc>
        <w:tc>
          <w:tcPr>
            <w:tcW w:w="709" w:type="dxa"/>
            <w:vAlign w:val="center"/>
          </w:tcPr>
          <w:p w14:paraId="5C4DA142">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0.5</w:t>
            </w:r>
          </w:p>
        </w:tc>
        <w:tc>
          <w:tcPr>
            <w:tcW w:w="4961" w:type="dxa"/>
            <w:vAlign w:val="center"/>
          </w:tcPr>
          <w:p w14:paraId="29304981">
            <w:pPr>
              <w:snapToGrid w:val="0"/>
              <w:spacing w:line="240" w:lineRule="exact"/>
              <w:rPr>
                <w:rFonts w:hint="eastAsia" w:ascii="仿宋" w:hAnsi="仿宋" w:eastAsia="仿宋" w:cs="仿宋"/>
                <w:sz w:val="18"/>
                <w:szCs w:val="18"/>
              </w:rPr>
            </w:pPr>
            <w:r>
              <w:rPr>
                <w:rFonts w:hint="eastAsia" w:ascii="仿宋" w:hAnsi="仿宋" w:eastAsia="仿宋" w:cs="仿宋"/>
                <w:sz w:val="18"/>
                <w:szCs w:val="18"/>
              </w:rPr>
              <w:t>依据投标人差异评分，0-0.5分。</w:t>
            </w:r>
          </w:p>
        </w:tc>
      </w:tr>
      <w:tr w14:paraId="6FC90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exact"/>
          <w:jc w:val="center"/>
        </w:trPr>
        <w:tc>
          <w:tcPr>
            <w:tcW w:w="714" w:type="dxa"/>
            <w:vAlign w:val="center"/>
          </w:tcPr>
          <w:p w14:paraId="2CF71A8B">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5</w:t>
            </w:r>
          </w:p>
        </w:tc>
        <w:tc>
          <w:tcPr>
            <w:tcW w:w="1691" w:type="dxa"/>
            <w:vAlign w:val="center"/>
          </w:tcPr>
          <w:p w14:paraId="1EC2116D">
            <w:pPr>
              <w:spacing w:line="240" w:lineRule="exact"/>
              <w:jc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实质性优惠</w:t>
            </w:r>
          </w:p>
          <w:p w14:paraId="16234EA7">
            <w:pPr>
              <w:snapToGrid w:val="0"/>
              <w:spacing w:line="240" w:lineRule="exact"/>
              <w:jc w:val="center"/>
              <w:rPr>
                <w:rFonts w:hint="eastAsia" w:ascii="仿宋" w:hAnsi="仿宋" w:eastAsia="仿宋"/>
                <w:sz w:val="18"/>
                <w:szCs w:val="18"/>
              </w:rPr>
            </w:pPr>
            <w:r>
              <w:rPr>
                <w:rFonts w:hint="eastAsia" w:ascii="仿宋" w:hAnsi="仿宋" w:eastAsia="仿宋" w:cs="仿宋"/>
                <w:sz w:val="18"/>
                <w:szCs w:val="18"/>
              </w:rPr>
              <w:t>（1分）</w:t>
            </w:r>
          </w:p>
        </w:tc>
        <w:tc>
          <w:tcPr>
            <w:tcW w:w="1134" w:type="dxa"/>
            <w:vAlign w:val="center"/>
          </w:tcPr>
          <w:p w14:paraId="638D1E27">
            <w:pPr>
              <w:spacing w:line="240" w:lineRule="exact"/>
              <w:jc w:val="center"/>
              <w:rPr>
                <w:rFonts w:hint="eastAsia" w:ascii="仿宋" w:hAnsi="仿宋" w:eastAsia="仿宋" w:cs="仿宋"/>
                <w:sz w:val="18"/>
                <w:szCs w:val="18"/>
              </w:rPr>
            </w:pPr>
            <w:r>
              <w:rPr>
                <w:rFonts w:hint="eastAsia" w:ascii="仿宋" w:hAnsi="仿宋" w:eastAsia="仿宋" w:cs="仿宋"/>
                <w:snapToGrid w:val="0"/>
                <w:kern w:val="0"/>
                <w:sz w:val="18"/>
                <w:szCs w:val="18"/>
              </w:rPr>
              <w:t>实质性优惠</w:t>
            </w:r>
          </w:p>
        </w:tc>
        <w:tc>
          <w:tcPr>
            <w:tcW w:w="709" w:type="dxa"/>
            <w:vAlign w:val="center"/>
          </w:tcPr>
          <w:p w14:paraId="37CAB4EE">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1</w:t>
            </w:r>
          </w:p>
        </w:tc>
        <w:tc>
          <w:tcPr>
            <w:tcW w:w="4961" w:type="dxa"/>
            <w:vAlign w:val="center"/>
          </w:tcPr>
          <w:p w14:paraId="768BE47A">
            <w:pPr>
              <w:snapToGrid w:val="0"/>
              <w:spacing w:line="240" w:lineRule="exact"/>
              <w:rPr>
                <w:rFonts w:hint="eastAsia" w:ascii="仿宋" w:hAnsi="仿宋" w:eastAsia="仿宋" w:cs="仿宋"/>
                <w:sz w:val="18"/>
                <w:szCs w:val="18"/>
              </w:rPr>
            </w:pPr>
            <w:r>
              <w:rPr>
                <w:rFonts w:hint="eastAsia" w:ascii="仿宋" w:hAnsi="仿宋" w:eastAsia="仿宋" w:cs="仿宋"/>
                <w:snapToGrid w:val="0"/>
                <w:kern w:val="0"/>
                <w:sz w:val="18"/>
                <w:szCs w:val="18"/>
              </w:rPr>
              <w:t>满足招标文件要求外，投标人另外提供的实质性优惠条件或增值服务的，根据投标人提供的承诺书，进行横向比较后打0-1分，不提供不得分。</w:t>
            </w:r>
          </w:p>
        </w:tc>
      </w:tr>
      <w:tr w14:paraId="1DC90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exact"/>
          <w:jc w:val="center"/>
        </w:trPr>
        <w:tc>
          <w:tcPr>
            <w:tcW w:w="714" w:type="dxa"/>
            <w:vAlign w:val="center"/>
          </w:tcPr>
          <w:p w14:paraId="0E9AB1FC">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6</w:t>
            </w:r>
          </w:p>
        </w:tc>
        <w:tc>
          <w:tcPr>
            <w:tcW w:w="1691" w:type="dxa"/>
            <w:vAlign w:val="center"/>
          </w:tcPr>
          <w:p w14:paraId="5FAAD2B5">
            <w:pPr>
              <w:snapToGrid w:val="0"/>
              <w:spacing w:line="240" w:lineRule="exact"/>
              <w:jc w:val="center"/>
              <w:rPr>
                <w:rFonts w:hint="eastAsia" w:ascii="仿宋" w:hAnsi="仿宋" w:eastAsia="仿宋"/>
                <w:sz w:val="18"/>
                <w:szCs w:val="18"/>
              </w:rPr>
            </w:pPr>
            <w:r>
              <w:rPr>
                <w:rFonts w:hint="eastAsia" w:ascii="仿宋" w:hAnsi="仿宋" w:eastAsia="仿宋"/>
                <w:sz w:val="18"/>
                <w:szCs w:val="18"/>
              </w:rPr>
              <w:t>质保承诺</w:t>
            </w:r>
          </w:p>
          <w:p w14:paraId="37625281">
            <w:pPr>
              <w:spacing w:line="240" w:lineRule="exact"/>
              <w:jc w:val="center"/>
              <w:rPr>
                <w:rFonts w:hint="eastAsia" w:ascii="仿宋" w:hAnsi="仿宋" w:eastAsia="仿宋" w:cs="仿宋"/>
                <w:sz w:val="18"/>
                <w:szCs w:val="18"/>
              </w:rPr>
            </w:pPr>
            <w:r>
              <w:rPr>
                <w:rFonts w:hint="eastAsia" w:ascii="仿宋" w:hAnsi="仿宋" w:eastAsia="仿宋"/>
                <w:sz w:val="18"/>
                <w:szCs w:val="18"/>
              </w:rPr>
              <w:t>（1分）</w:t>
            </w:r>
          </w:p>
        </w:tc>
        <w:tc>
          <w:tcPr>
            <w:tcW w:w="1134" w:type="dxa"/>
            <w:vAlign w:val="center"/>
          </w:tcPr>
          <w:p w14:paraId="5203F627">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质保承诺</w:t>
            </w:r>
          </w:p>
        </w:tc>
        <w:tc>
          <w:tcPr>
            <w:tcW w:w="709" w:type="dxa"/>
            <w:vAlign w:val="center"/>
          </w:tcPr>
          <w:p w14:paraId="7D072775">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1</w:t>
            </w:r>
          </w:p>
        </w:tc>
        <w:tc>
          <w:tcPr>
            <w:tcW w:w="4961" w:type="dxa"/>
            <w:vAlign w:val="center"/>
          </w:tcPr>
          <w:p w14:paraId="1681A5EC">
            <w:pPr>
              <w:pStyle w:val="21"/>
              <w:snapToGrid w:val="0"/>
              <w:spacing w:line="240" w:lineRule="exact"/>
              <w:rPr>
                <w:rFonts w:hint="eastAsia" w:ascii="仿宋" w:hAnsi="仿宋" w:eastAsia="仿宋" w:cs="仿宋"/>
                <w:color w:val="auto"/>
                <w:sz w:val="18"/>
                <w:szCs w:val="18"/>
              </w:rPr>
            </w:pPr>
            <w:r>
              <w:rPr>
                <w:rFonts w:ascii="仿宋" w:hAnsi="仿宋" w:eastAsia="仿宋" w:cs="仿宋"/>
                <w:color w:val="auto"/>
                <w:sz w:val="18"/>
                <w:szCs w:val="18"/>
              </w:rPr>
              <w:t>质保期：在</w:t>
            </w:r>
            <w:r>
              <w:rPr>
                <w:rFonts w:hint="eastAsia" w:ascii="仿宋" w:hAnsi="仿宋" w:eastAsia="仿宋" w:cs="仿宋"/>
                <w:color w:val="auto"/>
                <w:sz w:val="18"/>
                <w:szCs w:val="18"/>
              </w:rPr>
              <w:t>招标文件</w:t>
            </w:r>
            <w:r>
              <w:rPr>
                <w:rFonts w:ascii="仿宋" w:hAnsi="仿宋" w:eastAsia="仿宋" w:cs="仿宋"/>
                <w:color w:val="auto"/>
                <w:sz w:val="18"/>
                <w:szCs w:val="18"/>
              </w:rPr>
              <w:t>规定的基础上，</w:t>
            </w:r>
            <w:r>
              <w:rPr>
                <w:rFonts w:hint="eastAsia" w:ascii="仿宋" w:hAnsi="仿宋" w:eastAsia="仿宋" w:cs="仿宋"/>
                <w:color w:val="auto"/>
                <w:sz w:val="18"/>
                <w:szCs w:val="18"/>
              </w:rPr>
              <w:t>质保期</w:t>
            </w:r>
            <w:r>
              <w:rPr>
                <w:rFonts w:ascii="仿宋" w:hAnsi="仿宋" w:eastAsia="仿宋" w:cs="仿宋"/>
                <w:color w:val="auto"/>
                <w:sz w:val="18"/>
                <w:szCs w:val="18"/>
              </w:rPr>
              <w:t>每</w:t>
            </w:r>
            <w:r>
              <w:rPr>
                <w:rFonts w:hint="eastAsia" w:ascii="仿宋" w:hAnsi="仿宋" w:eastAsia="仿宋" w:cs="仿宋"/>
                <w:color w:val="auto"/>
                <w:sz w:val="18"/>
                <w:szCs w:val="18"/>
              </w:rPr>
              <w:t>延长6个月</w:t>
            </w:r>
            <w:r>
              <w:rPr>
                <w:rFonts w:ascii="仿宋" w:hAnsi="仿宋" w:eastAsia="仿宋" w:cs="仿宋"/>
                <w:color w:val="auto"/>
                <w:sz w:val="18"/>
                <w:szCs w:val="18"/>
              </w:rPr>
              <w:t>得</w:t>
            </w:r>
            <w:r>
              <w:rPr>
                <w:rFonts w:hint="eastAsia" w:ascii="仿宋" w:hAnsi="仿宋" w:eastAsia="仿宋" w:cs="仿宋"/>
                <w:color w:val="auto"/>
                <w:sz w:val="18"/>
                <w:szCs w:val="18"/>
              </w:rPr>
              <w:t>0.5</w:t>
            </w:r>
            <w:r>
              <w:rPr>
                <w:rFonts w:ascii="仿宋" w:hAnsi="仿宋" w:eastAsia="仿宋" w:cs="仿宋"/>
                <w:color w:val="auto"/>
                <w:sz w:val="18"/>
                <w:szCs w:val="18"/>
              </w:rPr>
              <w:t>分，最高得</w:t>
            </w:r>
            <w:r>
              <w:rPr>
                <w:rFonts w:hint="eastAsia" w:ascii="仿宋" w:hAnsi="仿宋" w:eastAsia="仿宋" w:cs="仿宋"/>
                <w:color w:val="auto"/>
                <w:sz w:val="18"/>
                <w:szCs w:val="18"/>
              </w:rPr>
              <w:t>1</w:t>
            </w:r>
            <w:r>
              <w:rPr>
                <w:rFonts w:ascii="仿宋" w:hAnsi="仿宋" w:eastAsia="仿宋" w:cs="仿宋"/>
                <w:color w:val="auto"/>
                <w:sz w:val="18"/>
                <w:szCs w:val="18"/>
              </w:rPr>
              <w:t>分，不足</w:t>
            </w:r>
            <w:r>
              <w:rPr>
                <w:rFonts w:hint="eastAsia" w:ascii="仿宋" w:hAnsi="仿宋" w:eastAsia="仿宋" w:cs="仿宋"/>
                <w:color w:val="auto"/>
                <w:sz w:val="18"/>
                <w:szCs w:val="18"/>
              </w:rPr>
              <w:t>6个月</w:t>
            </w:r>
            <w:r>
              <w:rPr>
                <w:rFonts w:ascii="仿宋" w:hAnsi="仿宋" w:eastAsia="仿宋" w:cs="仿宋"/>
                <w:color w:val="auto"/>
                <w:sz w:val="18"/>
                <w:szCs w:val="18"/>
              </w:rPr>
              <w:t>不计</w:t>
            </w:r>
            <w:r>
              <w:rPr>
                <w:rFonts w:hint="eastAsia" w:ascii="仿宋" w:hAnsi="仿宋" w:eastAsia="仿宋" w:cs="仿宋"/>
                <w:color w:val="auto"/>
                <w:sz w:val="18"/>
                <w:szCs w:val="18"/>
              </w:rPr>
              <w:t>。</w:t>
            </w:r>
          </w:p>
          <w:p w14:paraId="06C7104D">
            <w:pPr>
              <w:spacing w:line="240" w:lineRule="exact"/>
              <w:rPr>
                <w:rFonts w:hint="eastAsia" w:ascii="仿宋" w:hAnsi="仿宋" w:eastAsia="仿宋" w:cs="仿宋"/>
                <w:sz w:val="18"/>
                <w:szCs w:val="18"/>
              </w:rPr>
            </w:pPr>
            <w:r>
              <w:rPr>
                <w:rFonts w:hint="eastAsia" w:ascii="仿宋" w:hAnsi="仿宋" w:eastAsia="仿宋"/>
                <w:b/>
                <w:bCs/>
                <w:sz w:val="18"/>
                <w:szCs w:val="18"/>
              </w:rPr>
              <w:t>（须在投标文件中附承诺并加盖公章，否则不得分。）</w:t>
            </w:r>
          </w:p>
        </w:tc>
      </w:tr>
      <w:tr w14:paraId="32750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exact"/>
          <w:jc w:val="center"/>
        </w:trPr>
        <w:tc>
          <w:tcPr>
            <w:tcW w:w="714" w:type="dxa"/>
            <w:vAlign w:val="center"/>
          </w:tcPr>
          <w:p w14:paraId="44B6EAB8">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7</w:t>
            </w:r>
          </w:p>
        </w:tc>
        <w:tc>
          <w:tcPr>
            <w:tcW w:w="1691" w:type="dxa"/>
            <w:vAlign w:val="center"/>
          </w:tcPr>
          <w:p w14:paraId="38575CC7">
            <w:pPr>
              <w:snapToGrid w:val="0"/>
              <w:spacing w:line="240" w:lineRule="exact"/>
              <w:jc w:val="center"/>
              <w:rPr>
                <w:rFonts w:hint="eastAsia" w:ascii="仿宋" w:hAnsi="仿宋" w:eastAsia="仿宋"/>
                <w:sz w:val="18"/>
                <w:szCs w:val="18"/>
              </w:rPr>
            </w:pPr>
            <w:r>
              <w:rPr>
                <w:rFonts w:hint="eastAsia" w:ascii="仿宋" w:hAnsi="仿宋" w:eastAsia="仿宋"/>
                <w:sz w:val="18"/>
                <w:szCs w:val="18"/>
              </w:rPr>
              <w:t>综合评价（2分）</w:t>
            </w:r>
          </w:p>
        </w:tc>
        <w:tc>
          <w:tcPr>
            <w:tcW w:w="1134" w:type="dxa"/>
            <w:vAlign w:val="center"/>
          </w:tcPr>
          <w:p w14:paraId="0A8F0029">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综合评价</w:t>
            </w:r>
          </w:p>
        </w:tc>
        <w:tc>
          <w:tcPr>
            <w:tcW w:w="709" w:type="dxa"/>
            <w:vAlign w:val="center"/>
          </w:tcPr>
          <w:p w14:paraId="2B05CB69">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2</w:t>
            </w:r>
          </w:p>
        </w:tc>
        <w:tc>
          <w:tcPr>
            <w:tcW w:w="4961" w:type="dxa"/>
            <w:vAlign w:val="center"/>
          </w:tcPr>
          <w:p w14:paraId="18593C8F">
            <w:pPr>
              <w:pStyle w:val="21"/>
              <w:snapToGrid w:val="0"/>
              <w:spacing w:line="240" w:lineRule="exact"/>
              <w:rPr>
                <w:rFonts w:hint="eastAsia" w:ascii="仿宋" w:hAnsi="仿宋" w:eastAsia="仿宋" w:cs="仿宋"/>
                <w:color w:val="auto"/>
                <w:sz w:val="18"/>
                <w:szCs w:val="18"/>
              </w:rPr>
            </w:pPr>
            <w:r>
              <w:rPr>
                <w:rFonts w:hint="eastAsia" w:ascii="仿宋" w:hAnsi="仿宋" w:eastAsia="仿宋"/>
                <w:color w:val="auto"/>
                <w:sz w:val="18"/>
                <w:szCs w:val="18"/>
              </w:rPr>
              <w:t>对投标单位的能力以及完成项目的进度、质量、安全、信誉等方面</w:t>
            </w:r>
            <w:r>
              <w:rPr>
                <w:rFonts w:ascii="仿宋" w:hAnsi="仿宋" w:eastAsia="仿宋"/>
                <w:color w:val="auto"/>
                <w:sz w:val="18"/>
                <w:szCs w:val="18"/>
              </w:rPr>
              <w:t>进行综合评价</w:t>
            </w:r>
          </w:p>
        </w:tc>
      </w:tr>
    </w:tbl>
    <w:p w14:paraId="188A469A">
      <w:pPr>
        <w:spacing w:line="460" w:lineRule="exact"/>
        <w:rPr>
          <w:rFonts w:hint="eastAsia" w:ascii="仿宋" w:hAnsi="仿宋" w:eastAsia="仿宋"/>
          <w:sz w:val="28"/>
          <w:szCs w:val="28"/>
        </w:rPr>
      </w:pPr>
      <w:r>
        <w:rPr>
          <w:rFonts w:hint="eastAsia" w:ascii="仿宋" w:hAnsi="仿宋" w:eastAsia="仿宋"/>
          <w:sz w:val="28"/>
          <w:szCs w:val="28"/>
        </w:rPr>
        <w:t>6、技术评分表</w:t>
      </w:r>
    </w:p>
    <w:p w14:paraId="0BC349CE">
      <w:pPr>
        <w:spacing w:before="234" w:beforeLines="75" w:after="234" w:afterLines="75"/>
        <w:jc w:val="center"/>
        <w:rPr>
          <w:rFonts w:hint="eastAsia" w:ascii="宋体" w:hAnsi="宋体"/>
          <w:b/>
          <w:szCs w:val="21"/>
        </w:rPr>
      </w:pPr>
      <w:r>
        <w:rPr>
          <w:rFonts w:hint="eastAsia" w:ascii="宋体" w:hAnsi="宋体"/>
          <w:b/>
          <w:szCs w:val="21"/>
        </w:rPr>
        <w:t>技术部分评分表（30分）</w:t>
      </w:r>
    </w:p>
    <w:tbl>
      <w:tblPr>
        <w:tblStyle w:val="49"/>
        <w:tblW w:w="8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1275"/>
        <w:gridCol w:w="709"/>
        <w:gridCol w:w="6461"/>
      </w:tblGrid>
      <w:tr w14:paraId="3F675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696" w:type="dxa"/>
            <w:gridSpan w:val="2"/>
            <w:vAlign w:val="center"/>
          </w:tcPr>
          <w:p w14:paraId="1335DEDD">
            <w:pPr>
              <w:suppressLineNumbers/>
              <w:suppressAutoHyphens/>
              <w:kinsoku w:val="0"/>
              <w:snapToGrid w:val="0"/>
              <w:ind w:left="236" w:hanging="236" w:hangingChars="112"/>
              <w:jc w:val="center"/>
              <w:textAlignment w:val="center"/>
              <w:rPr>
                <w:rFonts w:hint="eastAsia" w:ascii="仿宋" w:hAnsi="仿宋" w:eastAsia="仿宋" w:cs="仿宋"/>
                <w:b/>
                <w:snapToGrid w:val="0"/>
                <w:kern w:val="0"/>
                <w:szCs w:val="21"/>
              </w:rPr>
            </w:pPr>
            <w:r>
              <w:rPr>
                <w:rFonts w:hint="eastAsia" w:ascii="仿宋" w:hAnsi="仿宋" w:eastAsia="仿宋" w:cs="仿宋"/>
                <w:b/>
                <w:snapToGrid w:val="0"/>
                <w:kern w:val="0"/>
                <w:szCs w:val="21"/>
              </w:rPr>
              <w:t>评分因素</w:t>
            </w:r>
          </w:p>
        </w:tc>
        <w:tc>
          <w:tcPr>
            <w:tcW w:w="709" w:type="dxa"/>
            <w:vAlign w:val="center"/>
          </w:tcPr>
          <w:p w14:paraId="14B38181">
            <w:pPr>
              <w:suppressLineNumbers/>
              <w:suppressAutoHyphens/>
              <w:kinsoku w:val="0"/>
              <w:snapToGrid w:val="0"/>
              <w:ind w:left="236" w:hanging="236" w:hangingChars="112"/>
              <w:jc w:val="center"/>
              <w:textAlignment w:val="center"/>
              <w:rPr>
                <w:rFonts w:hint="eastAsia" w:ascii="仿宋" w:hAnsi="仿宋" w:eastAsia="仿宋" w:cs="仿宋"/>
                <w:b/>
                <w:snapToGrid w:val="0"/>
                <w:kern w:val="0"/>
                <w:szCs w:val="21"/>
              </w:rPr>
            </w:pPr>
            <w:r>
              <w:rPr>
                <w:rFonts w:hint="eastAsia" w:ascii="仿宋" w:hAnsi="仿宋" w:eastAsia="仿宋" w:cs="仿宋"/>
                <w:b/>
                <w:snapToGrid w:val="0"/>
                <w:kern w:val="0"/>
                <w:szCs w:val="21"/>
              </w:rPr>
              <w:t>标准分</w:t>
            </w:r>
          </w:p>
        </w:tc>
        <w:tc>
          <w:tcPr>
            <w:tcW w:w="6461" w:type="dxa"/>
            <w:vAlign w:val="center"/>
          </w:tcPr>
          <w:p w14:paraId="457BF4B3">
            <w:pPr>
              <w:suppressLineNumbers/>
              <w:suppressAutoHyphens/>
              <w:kinsoku w:val="0"/>
              <w:snapToGrid w:val="0"/>
              <w:ind w:left="236" w:hanging="236" w:hangingChars="112"/>
              <w:jc w:val="center"/>
              <w:textAlignment w:val="center"/>
              <w:rPr>
                <w:rFonts w:hint="eastAsia" w:ascii="仿宋" w:hAnsi="仿宋" w:eastAsia="仿宋" w:cs="仿宋"/>
                <w:b/>
                <w:snapToGrid w:val="0"/>
                <w:kern w:val="0"/>
                <w:szCs w:val="21"/>
              </w:rPr>
            </w:pPr>
            <w:r>
              <w:rPr>
                <w:rFonts w:hint="eastAsia" w:ascii="仿宋" w:hAnsi="仿宋" w:eastAsia="仿宋" w:cs="仿宋"/>
                <w:b/>
                <w:snapToGrid w:val="0"/>
                <w:kern w:val="0"/>
                <w:szCs w:val="21"/>
              </w:rPr>
              <w:t>评分标准说明</w:t>
            </w:r>
          </w:p>
        </w:tc>
      </w:tr>
      <w:tr w14:paraId="175A6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9" w:hRule="atLeast"/>
          <w:jc w:val="center"/>
        </w:trPr>
        <w:tc>
          <w:tcPr>
            <w:tcW w:w="421" w:type="dxa"/>
            <w:vAlign w:val="center"/>
          </w:tcPr>
          <w:p w14:paraId="79B8A4C4">
            <w:pPr>
              <w:suppressLineNumbers/>
              <w:suppressAutoHyphens/>
              <w:kinsoku w:val="0"/>
              <w:snapToGrid w:val="0"/>
              <w:spacing w:line="240" w:lineRule="exact"/>
              <w:jc w:val="center"/>
              <w:textAlignment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1</w:t>
            </w:r>
          </w:p>
        </w:tc>
        <w:tc>
          <w:tcPr>
            <w:tcW w:w="1275" w:type="dxa"/>
            <w:vAlign w:val="center"/>
          </w:tcPr>
          <w:p w14:paraId="3B95E7DE">
            <w:pPr>
              <w:suppressLineNumbers/>
              <w:suppressAutoHyphens/>
              <w:kinsoku w:val="0"/>
              <w:snapToGrid w:val="0"/>
              <w:spacing w:line="240" w:lineRule="exact"/>
              <w:ind w:left="120" w:leftChars="57"/>
              <w:textAlignment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基本功能与配置</w:t>
            </w:r>
          </w:p>
        </w:tc>
        <w:tc>
          <w:tcPr>
            <w:tcW w:w="709" w:type="dxa"/>
            <w:vAlign w:val="center"/>
          </w:tcPr>
          <w:p w14:paraId="00ED0273">
            <w:pPr>
              <w:suppressLineNumbers/>
              <w:suppressAutoHyphens/>
              <w:kinsoku w:val="0"/>
              <w:snapToGrid w:val="0"/>
              <w:spacing w:line="240" w:lineRule="exact"/>
              <w:ind w:left="202" w:hanging="201" w:hangingChars="112"/>
              <w:jc w:val="center"/>
              <w:textAlignment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3</w:t>
            </w:r>
          </w:p>
        </w:tc>
        <w:tc>
          <w:tcPr>
            <w:tcW w:w="6461" w:type="dxa"/>
            <w:vAlign w:val="center"/>
          </w:tcPr>
          <w:p w14:paraId="1F839E3E">
            <w:pPr>
              <w:suppressLineNumbers/>
              <w:suppressAutoHyphens/>
              <w:kinsoku w:val="0"/>
              <w:snapToGrid w:val="0"/>
              <w:spacing w:line="240" w:lineRule="exact"/>
              <w:ind w:left="120" w:leftChars="57"/>
              <w:textAlignment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投标方根据招标文件技术部分编制投标方案，填写供货清单、设备参数，说明设备特点，对招标书响应情况，填写技术差异表等。对设备的配置、功能、性能进行评分：1-3分</w:t>
            </w:r>
          </w:p>
        </w:tc>
      </w:tr>
      <w:tr w14:paraId="43F5F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67" w:hRule="atLeast"/>
          <w:jc w:val="center"/>
        </w:trPr>
        <w:tc>
          <w:tcPr>
            <w:tcW w:w="421" w:type="dxa"/>
            <w:vAlign w:val="center"/>
          </w:tcPr>
          <w:p w14:paraId="0239AB7D">
            <w:pPr>
              <w:suppressLineNumbers/>
              <w:suppressAutoHyphens/>
              <w:kinsoku w:val="0"/>
              <w:snapToGrid w:val="0"/>
              <w:spacing w:line="240" w:lineRule="exact"/>
              <w:jc w:val="center"/>
              <w:textAlignment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2</w:t>
            </w:r>
          </w:p>
        </w:tc>
        <w:tc>
          <w:tcPr>
            <w:tcW w:w="1275" w:type="dxa"/>
            <w:shd w:val="clear" w:color="auto" w:fill="auto"/>
            <w:vAlign w:val="center"/>
          </w:tcPr>
          <w:p w14:paraId="79748035">
            <w:pPr>
              <w:suppressLineNumbers/>
              <w:suppressAutoHyphens/>
              <w:kinsoku w:val="0"/>
              <w:snapToGrid w:val="0"/>
              <w:spacing w:line="240" w:lineRule="exact"/>
              <w:ind w:left="120" w:leftChars="57"/>
              <w:textAlignment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综合技术水平</w:t>
            </w:r>
          </w:p>
        </w:tc>
        <w:tc>
          <w:tcPr>
            <w:tcW w:w="709" w:type="dxa"/>
            <w:shd w:val="clear" w:color="auto" w:fill="auto"/>
            <w:vAlign w:val="center"/>
          </w:tcPr>
          <w:p w14:paraId="056776BF">
            <w:pPr>
              <w:suppressLineNumbers/>
              <w:suppressAutoHyphens/>
              <w:kinsoku w:val="0"/>
              <w:snapToGrid w:val="0"/>
              <w:spacing w:line="240" w:lineRule="exact"/>
              <w:ind w:left="202" w:hanging="201" w:hangingChars="112"/>
              <w:jc w:val="center"/>
              <w:textAlignment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5</w:t>
            </w:r>
          </w:p>
        </w:tc>
        <w:tc>
          <w:tcPr>
            <w:tcW w:w="6461" w:type="dxa"/>
            <w:shd w:val="clear" w:color="auto" w:fill="auto"/>
            <w:vAlign w:val="center"/>
          </w:tcPr>
          <w:p w14:paraId="6D43252C">
            <w:pPr>
              <w:suppressLineNumbers/>
              <w:suppressAutoHyphens/>
              <w:kinsoku w:val="0"/>
              <w:snapToGrid w:val="0"/>
              <w:spacing w:line="240" w:lineRule="exact"/>
              <w:ind w:left="120" w:leftChars="57"/>
              <w:textAlignment w:val="center"/>
              <w:rPr>
                <w:rFonts w:hint="eastAsia" w:ascii="仿宋" w:hAnsi="仿宋" w:eastAsia="仿宋" w:cs="仿宋"/>
                <w:snapToGrid w:val="0"/>
                <w:kern w:val="0"/>
                <w:sz w:val="18"/>
                <w:szCs w:val="18"/>
              </w:rPr>
            </w:pPr>
            <w:r>
              <w:rPr>
                <w:rFonts w:hint="eastAsia" w:ascii="仿宋" w:hAnsi="仿宋" w:eastAsia="仿宋"/>
                <w:sz w:val="18"/>
                <w:szCs w:val="18"/>
              </w:rPr>
              <w:t>投标方应根据项目的特点，编制具有可行性的项目实施方案，包括但不限于执行标准清单、设备的制作工艺详细说明</w:t>
            </w:r>
            <w:r>
              <w:rPr>
                <w:rFonts w:hint="eastAsia" w:ascii="仿宋" w:hAnsi="仿宋" w:eastAsia="仿宋"/>
                <w:sz w:val="18"/>
                <w:szCs w:val="18"/>
                <w:lang w:val="en-US" w:eastAsia="zh-CN"/>
              </w:rPr>
              <w:t>(流程图）</w:t>
            </w:r>
            <w:r>
              <w:rPr>
                <w:rFonts w:hint="eastAsia" w:ascii="仿宋" w:hAnsi="仿宋" w:eastAsia="仿宋"/>
                <w:sz w:val="18"/>
                <w:szCs w:val="18"/>
              </w:rPr>
              <w:t>、设备质量保证措施、供货组织计划、交货期保证措施、安全管理等。</w:t>
            </w:r>
            <w:r>
              <w:rPr>
                <w:rFonts w:hint="eastAsia" w:ascii="仿宋" w:hAnsi="仿宋" w:eastAsia="仿宋" w:cs="仿宋"/>
                <w:snapToGrid w:val="0"/>
                <w:kern w:val="0"/>
                <w:sz w:val="18"/>
                <w:szCs w:val="18"/>
              </w:rPr>
              <w:t>对生产工艺、管理水平、技术水平、专利情况等进行综合评价：1-5分</w:t>
            </w:r>
          </w:p>
        </w:tc>
      </w:tr>
      <w:tr w14:paraId="7A83F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jc w:val="center"/>
        </w:trPr>
        <w:tc>
          <w:tcPr>
            <w:tcW w:w="421" w:type="dxa"/>
            <w:vAlign w:val="center"/>
          </w:tcPr>
          <w:p w14:paraId="4DA38C99">
            <w:pPr>
              <w:suppressLineNumbers/>
              <w:suppressAutoHyphens/>
              <w:kinsoku w:val="0"/>
              <w:snapToGrid w:val="0"/>
              <w:spacing w:line="240" w:lineRule="exact"/>
              <w:jc w:val="center"/>
              <w:textAlignment w:val="center"/>
              <w:rPr>
                <w:rFonts w:hint="eastAsia" w:ascii="仿宋" w:hAnsi="仿宋" w:eastAsia="仿宋" w:cs="仿宋"/>
                <w:snapToGrid w:val="0"/>
                <w:kern w:val="0"/>
                <w:sz w:val="18"/>
                <w:szCs w:val="18"/>
              </w:rPr>
            </w:pPr>
            <w:r>
              <w:rPr>
                <w:rFonts w:ascii="仿宋" w:hAnsi="仿宋" w:eastAsia="仿宋" w:cs="仿宋"/>
                <w:snapToGrid w:val="0"/>
                <w:kern w:val="0"/>
                <w:sz w:val="18"/>
                <w:szCs w:val="18"/>
              </w:rPr>
              <w:t>3</w:t>
            </w:r>
          </w:p>
        </w:tc>
        <w:tc>
          <w:tcPr>
            <w:tcW w:w="1275" w:type="dxa"/>
            <w:shd w:val="clear" w:color="auto" w:fill="auto"/>
            <w:vAlign w:val="center"/>
          </w:tcPr>
          <w:p w14:paraId="1655B807">
            <w:pPr>
              <w:suppressLineNumbers/>
              <w:suppressAutoHyphens/>
              <w:kinsoku w:val="0"/>
              <w:snapToGrid w:val="0"/>
              <w:spacing w:line="240" w:lineRule="exact"/>
              <w:ind w:left="120" w:leftChars="57"/>
              <w:textAlignment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设备设计、制作、检验</w:t>
            </w:r>
          </w:p>
        </w:tc>
        <w:tc>
          <w:tcPr>
            <w:tcW w:w="709" w:type="dxa"/>
            <w:shd w:val="clear" w:color="auto" w:fill="auto"/>
            <w:vAlign w:val="center"/>
          </w:tcPr>
          <w:p w14:paraId="7181B457">
            <w:pPr>
              <w:suppressLineNumbers/>
              <w:suppressAutoHyphens/>
              <w:kinsoku w:val="0"/>
              <w:snapToGrid w:val="0"/>
              <w:spacing w:line="240" w:lineRule="exact"/>
              <w:ind w:left="202" w:hanging="201" w:hangingChars="112"/>
              <w:jc w:val="center"/>
              <w:textAlignment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3</w:t>
            </w:r>
          </w:p>
        </w:tc>
        <w:tc>
          <w:tcPr>
            <w:tcW w:w="6461" w:type="dxa"/>
            <w:shd w:val="clear" w:color="auto" w:fill="auto"/>
            <w:vAlign w:val="center"/>
          </w:tcPr>
          <w:p w14:paraId="17F0589B">
            <w:pPr>
              <w:suppressLineNumbers/>
              <w:suppressAutoHyphens/>
              <w:kinsoku w:val="0"/>
              <w:snapToGrid w:val="0"/>
              <w:spacing w:line="240" w:lineRule="exact"/>
              <w:ind w:left="120" w:leftChars="57"/>
              <w:textAlignment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根据投标方设备的设计、检验测试、生产装备及技术力量打分：0-3分</w:t>
            </w:r>
          </w:p>
        </w:tc>
      </w:tr>
      <w:tr w14:paraId="52B92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9" w:hRule="atLeast"/>
          <w:jc w:val="center"/>
        </w:trPr>
        <w:tc>
          <w:tcPr>
            <w:tcW w:w="421" w:type="dxa"/>
            <w:vAlign w:val="center"/>
          </w:tcPr>
          <w:p w14:paraId="33468858">
            <w:pPr>
              <w:suppressLineNumbers/>
              <w:suppressAutoHyphens/>
              <w:kinsoku w:val="0"/>
              <w:snapToGrid w:val="0"/>
              <w:spacing w:line="240" w:lineRule="exact"/>
              <w:jc w:val="center"/>
              <w:textAlignment w:val="center"/>
              <w:rPr>
                <w:rFonts w:hint="eastAsia" w:ascii="仿宋" w:hAnsi="仿宋" w:eastAsia="仿宋" w:cs="仿宋"/>
                <w:snapToGrid w:val="0"/>
                <w:kern w:val="0"/>
                <w:sz w:val="18"/>
                <w:szCs w:val="18"/>
              </w:rPr>
            </w:pPr>
            <w:r>
              <w:rPr>
                <w:rFonts w:ascii="仿宋" w:hAnsi="仿宋" w:eastAsia="仿宋" w:cs="仿宋"/>
                <w:snapToGrid w:val="0"/>
                <w:kern w:val="0"/>
                <w:sz w:val="18"/>
                <w:szCs w:val="18"/>
              </w:rPr>
              <w:t>4</w:t>
            </w:r>
          </w:p>
        </w:tc>
        <w:tc>
          <w:tcPr>
            <w:tcW w:w="1275" w:type="dxa"/>
            <w:shd w:val="clear" w:color="auto" w:fill="auto"/>
            <w:vAlign w:val="center"/>
          </w:tcPr>
          <w:p w14:paraId="33E96F69">
            <w:pPr>
              <w:suppressLineNumbers/>
              <w:suppressAutoHyphens/>
              <w:kinsoku w:val="0"/>
              <w:snapToGrid w:val="0"/>
              <w:spacing w:line="240" w:lineRule="exact"/>
              <w:ind w:left="120" w:leftChars="57"/>
              <w:textAlignment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随机备品备件</w:t>
            </w:r>
          </w:p>
        </w:tc>
        <w:tc>
          <w:tcPr>
            <w:tcW w:w="709" w:type="dxa"/>
            <w:shd w:val="clear" w:color="auto" w:fill="auto"/>
            <w:vAlign w:val="center"/>
          </w:tcPr>
          <w:p w14:paraId="1D63E803">
            <w:pPr>
              <w:suppressLineNumbers/>
              <w:suppressAutoHyphens/>
              <w:kinsoku w:val="0"/>
              <w:snapToGrid w:val="0"/>
              <w:spacing w:line="240" w:lineRule="exact"/>
              <w:ind w:left="202" w:hanging="201" w:hangingChars="112"/>
              <w:jc w:val="center"/>
              <w:textAlignment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3</w:t>
            </w:r>
          </w:p>
        </w:tc>
        <w:tc>
          <w:tcPr>
            <w:tcW w:w="6461" w:type="dxa"/>
            <w:shd w:val="clear" w:color="auto" w:fill="auto"/>
            <w:vAlign w:val="center"/>
          </w:tcPr>
          <w:p w14:paraId="1CC87EE7">
            <w:pPr>
              <w:suppressLineNumbers/>
              <w:suppressAutoHyphens/>
              <w:kinsoku w:val="0"/>
              <w:snapToGrid w:val="0"/>
              <w:spacing w:line="240" w:lineRule="exact"/>
              <w:ind w:left="120" w:leftChars="57"/>
              <w:textAlignment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根据投标方随机备品备件的提供情况，进行横向比较后打分：0-</w:t>
            </w:r>
            <w:r>
              <w:rPr>
                <w:rFonts w:ascii="仿宋" w:hAnsi="仿宋" w:eastAsia="仿宋" w:cs="仿宋"/>
                <w:snapToGrid w:val="0"/>
                <w:kern w:val="0"/>
                <w:sz w:val="18"/>
                <w:szCs w:val="18"/>
              </w:rPr>
              <w:t>3</w:t>
            </w:r>
            <w:r>
              <w:rPr>
                <w:rFonts w:hint="eastAsia" w:ascii="仿宋" w:hAnsi="仿宋" w:eastAsia="仿宋" w:cs="仿宋"/>
                <w:snapToGrid w:val="0"/>
                <w:kern w:val="0"/>
                <w:sz w:val="18"/>
                <w:szCs w:val="18"/>
              </w:rPr>
              <w:t>分</w:t>
            </w:r>
          </w:p>
        </w:tc>
      </w:tr>
      <w:tr w14:paraId="223C4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shd w:val="clear" w:color="auto" w:fill="auto"/>
            <w:vAlign w:val="center"/>
          </w:tcPr>
          <w:p w14:paraId="23F995E3">
            <w:pPr>
              <w:suppressLineNumbers/>
              <w:suppressAutoHyphens/>
              <w:kinsoku w:val="0"/>
              <w:snapToGrid w:val="0"/>
              <w:spacing w:line="240" w:lineRule="exact"/>
              <w:jc w:val="center"/>
              <w:textAlignment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5</w:t>
            </w:r>
          </w:p>
        </w:tc>
        <w:tc>
          <w:tcPr>
            <w:tcW w:w="1275" w:type="dxa"/>
            <w:vAlign w:val="center"/>
          </w:tcPr>
          <w:p w14:paraId="38F7F8A3">
            <w:pPr>
              <w:suppressLineNumbers/>
              <w:suppressAutoHyphens/>
              <w:kinsoku w:val="0"/>
              <w:snapToGrid w:val="0"/>
              <w:spacing w:line="240" w:lineRule="exact"/>
              <w:ind w:left="120" w:leftChars="57"/>
              <w:textAlignment w:val="center"/>
              <w:rPr>
                <w:rFonts w:hint="eastAsia" w:ascii="仿宋" w:hAnsi="仿宋" w:eastAsia="仿宋" w:cs="仿宋"/>
                <w:snapToGrid w:val="0"/>
                <w:kern w:val="0"/>
                <w:sz w:val="18"/>
                <w:szCs w:val="18"/>
              </w:rPr>
            </w:pPr>
            <w:r>
              <w:rPr>
                <w:rFonts w:hint="eastAsia" w:ascii="仿宋" w:hAnsi="仿宋" w:eastAsia="仿宋" w:cs="仿宋"/>
                <w:sz w:val="18"/>
                <w:szCs w:val="18"/>
              </w:rPr>
              <w:t>业绩</w:t>
            </w:r>
          </w:p>
        </w:tc>
        <w:tc>
          <w:tcPr>
            <w:tcW w:w="709" w:type="dxa"/>
            <w:vAlign w:val="center"/>
          </w:tcPr>
          <w:p w14:paraId="1C0A5085">
            <w:pPr>
              <w:suppressLineNumbers/>
              <w:suppressAutoHyphens/>
              <w:kinsoku w:val="0"/>
              <w:snapToGrid w:val="0"/>
              <w:spacing w:line="240" w:lineRule="exact"/>
              <w:ind w:left="202" w:hanging="201" w:hangingChars="112"/>
              <w:jc w:val="center"/>
              <w:textAlignment w:val="center"/>
              <w:rPr>
                <w:rFonts w:hint="eastAsia" w:ascii="仿宋" w:hAnsi="仿宋" w:eastAsia="仿宋" w:cs="仿宋"/>
                <w:snapToGrid w:val="0"/>
                <w:kern w:val="0"/>
                <w:sz w:val="18"/>
                <w:szCs w:val="18"/>
              </w:rPr>
            </w:pPr>
            <w:r>
              <w:rPr>
                <w:rFonts w:hint="eastAsia" w:ascii="仿宋" w:hAnsi="仿宋" w:eastAsia="仿宋" w:cs="仿宋"/>
                <w:sz w:val="18"/>
                <w:szCs w:val="18"/>
              </w:rPr>
              <w:t>4</w:t>
            </w:r>
          </w:p>
        </w:tc>
        <w:tc>
          <w:tcPr>
            <w:tcW w:w="6461" w:type="dxa"/>
            <w:vAlign w:val="center"/>
          </w:tcPr>
          <w:p w14:paraId="52BFC6D9">
            <w:pPr>
              <w:spacing w:line="240" w:lineRule="exact"/>
              <w:rPr>
                <w:rFonts w:hint="eastAsia" w:ascii="仿宋" w:hAnsi="仿宋" w:eastAsia="仿宋" w:cs="仿宋"/>
                <w:snapToGrid w:val="0"/>
                <w:kern w:val="0"/>
                <w:sz w:val="18"/>
                <w:szCs w:val="18"/>
              </w:rPr>
            </w:pPr>
            <w:r>
              <w:rPr>
                <w:rFonts w:hint="eastAsia" w:ascii="仿宋" w:hAnsi="仿宋" w:eastAsia="仿宋"/>
                <w:sz w:val="18"/>
                <w:szCs w:val="18"/>
              </w:rPr>
              <w:t>近</w:t>
            </w:r>
            <w:r>
              <w:rPr>
                <w:rFonts w:hint="eastAsia" w:ascii="仿宋" w:hAnsi="仿宋" w:eastAsia="仿宋"/>
                <w:sz w:val="18"/>
                <w:szCs w:val="18"/>
                <w:lang w:val="en-US" w:eastAsia="zh-CN"/>
              </w:rPr>
              <w:t>3</w:t>
            </w:r>
            <w:r>
              <w:rPr>
                <w:rFonts w:hint="eastAsia" w:ascii="仿宋" w:hAnsi="仿宋" w:eastAsia="仿宋"/>
                <w:sz w:val="18"/>
                <w:szCs w:val="18"/>
              </w:rPr>
              <w:t>年同行业类似业绩，每增加一个业绩加1分，最多得4分；</w:t>
            </w:r>
            <w:r>
              <w:rPr>
                <w:rFonts w:hint="eastAsia" w:ascii="仿宋" w:hAnsi="仿宋" w:eastAsia="仿宋" w:cs="仿宋"/>
                <w:snapToGrid w:val="0"/>
                <w:kern w:val="0"/>
                <w:sz w:val="18"/>
                <w:szCs w:val="18"/>
              </w:rPr>
              <w:t>业绩中要列出项目明细，所有业绩均须在投标文件中提供合同关键页扫描件</w:t>
            </w:r>
          </w:p>
        </w:tc>
      </w:tr>
      <w:tr w14:paraId="3AEB6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6" w:hRule="atLeast"/>
          <w:jc w:val="center"/>
        </w:trPr>
        <w:tc>
          <w:tcPr>
            <w:tcW w:w="421" w:type="dxa"/>
            <w:shd w:val="clear" w:color="auto" w:fill="auto"/>
            <w:vAlign w:val="center"/>
          </w:tcPr>
          <w:p w14:paraId="7D593F89">
            <w:pPr>
              <w:suppressLineNumbers/>
              <w:suppressAutoHyphens/>
              <w:kinsoku w:val="0"/>
              <w:snapToGrid w:val="0"/>
              <w:spacing w:line="240" w:lineRule="exact"/>
              <w:jc w:val="center"/>
              <w:textAlignment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6</w:t>
            </w:r>
          </w:p>
        </w:tc>
        <w:tc>
          <w:tcPr>
            <w:tcW w:w="1275" w:type="dxa"/>
            <w:vAlign w:val="center"/>
          </w:tcPr>
          <w:p w14:paraId="63E7558A">
            <w:pPr>
              <w:suppressLineNumbers/>
              <w:suppressAutoHyphens/>
              <w:kinsoku w:val="0"/>
              <w:snapToGrid w:val="0"/>
              <w:spacing w:line="240" w:lineRule="exact"/>
              <w:ind w:left="120" w:leftChars="57"/>
              <w:textAlignment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安装调试方案</w:t>
            </w:r>
          </w:p>
        </w:tc>
        <w:tc>
          <w:tcPr>
            <w:tcW w:w="709" w:type="dxa"/>
            <w:vAlign w:val="center"/>
          </w:tcPr>
          <w:p w14:paraId="3CC98931">
            <w:pPr>
              <w:suppressLineNumbers/>
              <w:suppressAutoHyphens/>
              <w:kinsoku w:val="0"/>
              <w:snapToGrid w:val="0"/>
              <w:spacing w:line="240" w:lineRule="exact"/>
              <w:ind w:left="202" w:hanging="201" w:hangingChars="112"/>
              <w:jc w:val="center"/>
              <w:textAlignment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7</w:t>
            </w:r>
          </w:p>
        </w:tc>
        <w:tc>
          <w:tcPr>
            <w:tcW w:w="6461" w:type="dxa"/>
            <w:vAlign w:val="center"/>
          </w:tcPr>
          <w:p w14:paraId="1AA0F285">
            <w:pPr>
              <w:pStyle w:val="21"/>
              <w:snapToGrid w:val="0"/>
              <w:spacing w:line="240" w:lineRule="exact"/>
              <w:rPr>
                <w:rFonts w:hint="eastAsia" w:ascii="仿宋" w:hAnsi="仿宋" w:eastAsia="仿宋"/>
                <w:color w:val="auto"/>
                <w:sz w:val="18"/>
                <w:szCs w:val="18"/>
              </w:rPr>
            </w:pPr>
            <w:r>
              <w:rPr>
                <w:rFonts w:hint="eastAsia" w:ascii="仿宋" w:hAnsi="仿宋" w:eastAsia="仿宋"/>
                <w:color w:val="auto"/>
                <w:sz w:val="18"/>
                <w:szCs w:val="18"/>
              </w:rPr>
              <w:t>投标人应根据项目的特点，编制具有可行性的项目实施方案，包括但不限于执行标准清单、设备的制作工艺细节详细说明、满足功能要求的具体措施、设备质量保证措施、供货组织计划、安装调试措施、交货期保证措施、安全管理、现场服务人员投入等方面，其中对于交货保证措施要有专项方案。</w:t>
            </w:r>
          </w:p>
          <w:p w14:paraId="2B84AA5D">
            <w:pPr>
              <w:pStyle w:val="21"/>
              <w:snapToGrid w:val="0"/>
              <w:spacing w:line="240" w:lineRule="exact"/>
              <w:rPr>
                <w:rFonts w:hint="eastAsia" w:ascii="仿宋" w:hAnsi="仿宋" w:eastAsia="仿宋"/>
                <w:color w:val="auto"/>
                <w:sz w:val="18"/>
                <w:szCs w:val="18"/>
              </w:rPr>
            </w:pPr>
            <w:r>
              <w:rPr>
                <w:rFonts w:hint="eastAsia" w:ascii="仿宋" w:hAnsi="仿宋" w:eastAsia="仿宋"/>
                <w:color w:val="auto"/>
                <w:sz w:val="18"/>
                <w:szCs w:val="18"/>
              </w:rPr>
              <w:t>内容详实，项目实施方案科学、合理、安全，考虑周全，措施到位，针对性强，得5-7分；</w:t>
            </w:r>
          </w:p>
          <w:p w14:paraId="1B8887A8">
            <w:pPr>
              <w:pStyle w:val="21"/>
              <w:snapToGrid w:val="0"/>
              <w:spacing w:line="240" w:lineRule="exact"/>
              <w:rPr>
                <w:rFonts w:hint="eastAsia" w:ascii="仿宋" w:hAnsi="仿宋" w:eastAsia="仿宋"/>
                <w:color w:val="auto"/>
                <w:sz w:val="18"/>
                <w:szCs w:val="18"/>
              </w:rPr>
            </w:pPr>
            <w:r>
              <w:rPr>
                <w:rFonts w:hint="eastAsia" w:ascii="仿宋" w:hAnsi="仿宋" w:eastAsia="仿宋"/>
                <w:color w:val="auto"/>
                <w:sz w:val="18"/>
                <w:szCs w:val="18"/>
              </w:rPr>
              <w:t>内容完整，项目实施方案基本科学、合理、安全，基本考虑周全，措施基本到位，得</w:t>
            </w:r>
            <w:r>
              <w:rPr>
                <w:rFonts w:ascii="仿宋" w:hAnsi="仿宋" w:eastAsia="仿宋"/>
                <w:color w:val="auto"/>
                <w:sz w:val="18"/>
                <w:szCs w:val="18"/>
              </w:rPr>
              <w:t>3</w:t>
            </w:r>
            <w:r>
              <w:rPr>
                <w:rFonts w:hint="eastAsia" w:ascii="仿宋" w:hAnsi="仿宋" w:eastAsia="仿宋"/>
                <w:color w:val="auto"/>
                <w:sz w:val="18"/>
                <w:szCs w:val="18"/>
              </w:rPr>
              <w:t>-4分；</w:t>
            </w:r>
          </w:p>
          <w:p w14:paraId="5FC8F1A6">
            <w:pPr>
              <w:pStyle w:val="230"/>
              <w:snapToGrid w:val="0"/>
              <w:spacing w:line="240" w:lineRule="exact"/>
              <w:ind w:firstLine="0"/>
              <w:rPr>
                <w:rFonts w:hint="eastAsia" w:ascii="仿宋" w:hAnsi="仿宋" w:eastAsia="仿宋" w:cs="仿宋"/>
                <w:snapToGrid w:val="0"/>
                <w:sz w:val="18"/>
                <w:szCs w:val="18"/>
              </w:rPr>
            </w:pPr>
            <w:r>
              <w:rPr>
                <w:rFonts w:hint="eastAsia" w:ascii="仿宋" w:hAnsi="仿宋" w:eastAsia="仿宋"/>
                <w:kern w:val="2"/>
                <w:sz w:val="18"/>
                <w:szCs w:val="18"/>
              </w:rPr>
              <w:t>内容基本完整，项目实施方案在科学、合理、安全性方面一般，措施有待优化，针对性一般，得1-2分；</w:t>
            </w:r>
            <w:r>
              <w:rPr>
                <w:rFonts w:hint="eastAsia" w:ascii="仿宋" w:hAnsi="仿宋" w:eastAsia="仿宋"/>
                <w:sz w:val="18"/>
                <w:szCs w:val="18"/>
              </w:rPr>
              <w:t>没有不得分。</w:t>
            </w:r>
          </w:p>
        </w:tc>
      </w:tr>
      <w:tr w14:paraId="018AE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6" w:hRule="atLeast"/>
          <w:jc w:val="center"/>
        </w:trPr>
        <w:tc>
          <w:tcPr>
            <w:tcW w:w="421" w:type="dxa"/>
            <w:shd w:val="clear" w:color="auto" w:fill="auto"/>
            <w:vAlign w:val="center"/>
          </w:tcPr>
          <w:p w14:paraId="73005AFA">
            <w:pPr>
              <w:suppressLineNumbers/>
              <w:suppressAutoHyphens/>
              <w:kinsoku w:val="0"/>
              <w:snapToGrid w:val="0"/>
              <w:spacing w:line="240" w:lineRule="exact"/>
              <w:jc w:val="center"/>
              <w:textAlignment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7</w:t>
            </w:r>
          </w:p>
        </w:tc>
        <w:tc>
          <w:tcPr>
            <w:tcW w:w="1275" w:type="dxa"/>
            <w:vAlign w:val="center"/>
          </w:tcPr>
          <w:p w14:paraId="6FAF15C3">
            <w:pPr>
              <w:suppressLineNumbers/>
              <w:suppressAutoHyphens/>
              <w:kinsoku w:val="0"/>
              <w:snapToGrid w:val="0"/>
              <w:spacing w:line="240" w:lineRule="exact"/>
              <w:ind w:left="120" w:leftChars="57"/>
              <w:textAlignment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技术培训方案</w:t>
            </w:r>
          </w:p>
        </w:tc>
        <w:tc>
          <w:tcPr>
            <w:tcW w:w="709" w:type="dxa"/>
            <w:vAlign w:val="center"/>
          </w:tcPr>
          <w:p w14:paraId="2AE2DE3D">
            <w:pPr>
              <w:suppressLineNumbers/>
              <w:suppressAutoHyphens/>
              <w:kinsoku w:val="0"/>
              <w:snapToGrid w:val="0"/>
              <w:spacing w:line="240" w:lineRule="exact"/>
              <w:ind w:left="202" w:hanging="201" w:hangingChars="112"/>
              <w:jc w:val="center"/>
              <w:textAlignment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2</w:t>
            </w:r>
          </w:p>
        </w:tc>
        <w:tc>
          <w:tcPr>
            <w:tcW w:w="6461" w:type="dxa"/>
            <w:vAlign w:val="center"/>
          </w:tcPr>
          <w:p w14:paraId="5C74A280">
            <w:pPr>
              <w:suppressLineNumbers/>
              <w:suppressAutoHyphens/>
              <w:kinsoku w:val="0"/>
              <w:snapToGrid w:val="0"/>
              <w:spacing w:line="240" w:lineRule="exact"/>
              <w:ind w:left="120" w:leftChars="57"/>
              <w:textAlignment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根据技术培训方案的完善程度打分：0-2分</w:t>
            </w:r>
          </w:p>
        </w:tc>
      </w:tr>
      <w:tr w14:paraId="76ED5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10" w:hRule="atLeast"/>
          <w:jc w:val="center"/>
        </w:trPr>
        <w:tc>
          <w:tcPr>
            <w:tcW w:w="421" w:type="dxa"/>
            <w:shd w:val="clear" w:color="auto" w:fill="auto"/>
            <w:vAlign w:val="center"/>
          </w:tcPr>
          <w:p w14:paraId="48FD0B0F">
            <w:pPr>
              <w:suppressLineNumbers/>
              <w:suppressAutoHyphens/>
              <w:kinsoku w:val="0"/>
              <w:snapToGrid w:val="0"/>
              <w:spacing w:line="240" w:lineRule="exact"/>
              <w:jc w:val="center"/>
              <w:textAlignment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8</w:t>
            </w:r>
          </w:p>
        </w:tc>
        <w:tc>
          <w:tcPr>
            <w:tcW w:w="1275" w:type="dxa"/>
            <w:vAlign w:val="center"/>
          </w:tcPr>
          <w:p w14:paraId="2E9E2B8C">
            <w:pPr>
              <w:suppressLineNumbers/>
              <w:suppressAutoHyphens/>
              <w:kinsoku w:val="0"/>
              <w:snapToGrid w:val="0"/>
              <w:spacing w:line="240" w:lineRule="exact"/>
              <w:ind w:left="120" w:leftChars="57"/>
              <w:textAlignment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售后服务</w:t>
            </w:r>
          </w:p>
        </w:tc>
        <w:tc>
          <w:tcPr>
            <w:tcW w:w="709" w:type="dxa"/>
            <w:vAlign w:val="center"/>
          </w:tcPr>
          <w:p w14:paraId="04F96AC9">
            <w:pPr>
              <w:suppressLineNumbers/>
              <w:suppressAutoHyphens/>
              <w:kinsoku w:val="0"/>
              <w:snapToGrid w:val="0"/>
              <w:spacing w:line="240" w:lineRule="exact"/>
              <w:ind w:left="202" w:hanging="201" w:hangingChars="112"/>
              <w:jc w:val="center"/>
              <w:textAlignment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3</w:t>
            </w:r>
          </w:p>
        </w:tc>
        <w:tc>
          <w:tcPr>
            <w:tcW w:w="6461" w:type="dxa"/>
            <w:vAlign w:val="center"/>
          </w:tcPr>
          <w:p w14:paraId="6F825B16">
            <w:pPr>
              <w:suppressLineNumbers/>
              <w:suppressAutoHyphens/>
              <w:kinsoku w:val="0"/>
              <w:snapToGrid w:val="0"/>
              <w:spacing w:line="240" w:lineRule="exact"/>
              <w:ind w:left="120" w:leftChars="57"/>
              <w:textAlignment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投标方应在充分理解本项目需求的基础上，针对本项目编制售后服务方案，包括但不限于服务内容、响应时间、人员安排、技术指导、终身服务等。根据投标方情况打分：1-3分</w:t>
            </w:r>
          </w:p>
        </w:tc>
      </w:tr>
    </w:tbl>
    <w:p w14:paraId="6CE8BA84">
      <w:pPr>
        <w:spacing w:line="320" w:lineRule="exact"/>
        <w:rPr>
          <w:rFonts w:hint="eastAsia" w:ascii="仿宋" w:hAnsi="仿宋" w:eastAsia="仿宋"/>
          <w:b/>
          <w:bCs/>
          <w:sz w:val="28"/>
          <w:szCs w:val="28"/>
        </w:rPr>
      </w:pPr>
    </w:p>
    <w:bookmarkEnd w:id="0"/>
    <w:p w14:paraId="67DF5468">
      <w:pPr>
        <w:spacing w:line="460" w:lineRule="exact"/>
        <w:rPr>
          <w:rFonts w:hint="eastAsia" w:ascii="仿宋" w:hAnsi="仿宋" w:eastAsia="仿宋"/>
          <w:b/>
          <w:bCs/>
          <w:sz w:val="28"/>
          <w:szCs w:val="28"/>
        </w:rPr>
      </w:pPr>
      <w:r>
        <w:rPr>
          <w:rFonts w:hint="eastAsia" w:ascii="仿宋" w:hAnsi="仿宋" w:eastAsia="仿宋"/>
          <w:b/>
          <w:bCs/>
          <w:sz w:val="28"/>
          <w:szCs w:val="28"/>
        </w:rPr>
        <w:t>四、授予合同</w:t>
      </w:r>
    </w:p>
    <w:p w14:paraId="7DB5FB2F">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1、招标人在授予合同时，保留对招标文件中规定的货物数量和规格予以调整的权力。</w:t>
      </w:r>
    </w:p>
    <w:p w14:paraId="49723F5F">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2、为保证项目的进度要求，招标人保留拆包授予合同的权力。</w:t>
      </w:r>
    </w:p>
    <w:p w14:paraId="3EF5FEBF">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3、中标人在接到《中标通知书》后10日内，按买方约定的时间、地点与买方签订合同。</w:t>
      </w:r>
    </w:p>
    <w:p w14:paraId="7E3ABA0D">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4、招标文件、中标人的投标文件及其澄清文件等，均为签订合同的依据。中标人不得与招标人签订背离上述文件内容的合同。</w:t>
      </w:r>
    </w:p>
    <w:p w14:paraId="2E008EAB">
      <w:pPr>
        <w:spacing w:line="460" w:lineRule="exact"/>
        <w:rPr>
          <w:rFonts w:hint="eastAsia" w:ascii="仿宋" w:hAnsi="仿宋" w:eastAsia="仿宋"/>
          <w:b/>
          <w:bCs/>
          <w:sz w:val="28"/>
          <w:szCs w:val="28"/>
        </w:rPr>
      </w:pPr>
      <w:r>
        <w:rPr>
          <w:rFonts w:hint="eastAsia" w:ascii="仿宋" w:hAnsi="仿宋" w:eastAsia="仿宋"/>
          <w:b/>
          <w:bCs/>
          <w:sz w:val="28"/>
          <w:szCs w:val="28"/>
        </w:rPr>
        <w:t>五、招标投标费用：</w:t>
      </w:r>
    </w:p>
    <w:p w14:paraId="666DF908">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一切与投标有关的费用均由投标人自理。</w:t>
      </w:r>
    </w:p>
    <w:p w14:paraId="23F7899D">
      <w:pPr>
        <w:spacing w:line="460" w:lineRule="exact"/>
        <w:rPr>
          <w:rFonts w:hint="eastAsia" w:ascii="仿宋" w:hAnsi="仿宋" w:eastAsia="仿宋"/>
          <w:b/>
          <w:bCs/>
          <w:sz w:val="28"/>
          <w:szCs w:val="28"/>
        </w:rPr>
      </w:pPr>
      <w:r>
        <w:rPr>
          <w:rFonts w:hint="eastAsia" w:ascii="仿宋" w:hAnsi="仿宋" w:eastAsia="仿宋"/>
          <w:b/>
          <w:bCs/>
          <w:sz w:val="28"/>
          <w:szCs w:val="28"/>
        </w:rPr>
        <w:t>六、投标人资格审查文件</w:t>
      </w:r>
    </w:p>
    <w:p w14:paraId="7DA9DC78">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投标人要提交下列文件以便招标单位审核：</w:t>
      </w:r>
    </w:p>
    <w:p w14:paraId="787BE732">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1) 企业法人营业执照（需提供原件扫描件供招标人审查）；</w:t>
      </w:r>
    </w:p>
    <w:p w14:paraId="44614FE4">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2) 法人、授权委托人身份证复印件（加盖公章）；</w:t>
      </w:r>
    </w:p>
    <w:p w14:paraId="6442B8DD">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3）安全生产许可证、有关鉴定材料、相关资质许可证；</w:t>
      </w:r>
    </w:p>
    <w:p w14:paraId="6EBAEAB9">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4) 质量、环境、职业安全等体系及其质量认证证明、证书；</w:t>
      </w:r>
    </w:p>
    <w:p w14:paraId="13CB9F64">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 xml:space="preserve">5) 已完成业绩(包括完成情况和出现的重要质量问题及改进措施)； </w:t>
      </w:r>
    </w:p>
    <w:p w14:paraId="05AE6D43">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6) 其它文件和资料。</w:t>
      </w:r>
    </w:p>
    <w:p w14:paraId="1CADC652">
      <w:pPr>
        <w:spacing w:line="460" w:lineRule="exact"/>
        <w:rPr>
          <w:rFonts w:hint="eastAsia" w:ascii="仿宋" w:hAnsi="仿宋" w:eastAsia="仿宋"/>
          <w:b/>
          <w:bCs/>
          <w:sz w:val="28"/>
          <w:szCs w:val="28"/>
        </w:rPr>
      </w:pPr>
      <w:r>
        <w:rPr>
          <w:rFonts w:hint="eastAsia" w:ascii="仿宋" w:hAnsi="仿宋" w:eastAsia="仿宋"/>
          <w:b/>
          <w:bCs/>
          <w:sz w:val="28"/>
          <w:szCs w:val="28"/>
        </w:rPr>
        <w:t>七、 投标保证金</w:t>
      </w:r>
    </w:p>
    <w:p w14:paraId="519DF4DB">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投标保证金（人民币：</w:t>
      </w:r>
      <w:r>
        <w:rPr>
          <w:rFonts w:hint="eastAsia" w:ascii="仿宋" w:hAnsi="仿宋" w:eastAsia="仿宋"/>
          <w:sz w:val="28"/>
          <w:szCs w:val="28"/>
          <w:lang w:val="en-US" w:eastAsia="zh-CN"/>
        </w:rPr>
        <w:t>伍仟元</w:t>
      </w:r>
      <w:r>
        <w:rPr>
          <w:rFonts w:hint="eastAsia" w:ascii="仿宋" w:hAnsi="仿宋" w:eastAsia="仿宋"/>
          <w:sz w:val="28"/>
          <w:szCs w:val="28"/>
        </w:rPr>
        <w:t xml:space="preserve">整     </w:t>
      </w:r>
      <w:r>
        <w:rPr>
          <w:rFonts w:hint="eastAsia" w:ascii="仿宋" w:hAnsi="仿宋" w:eastAsia="仿宋" w:cs="仿宋"/>
          <w:sz w:val="28"/>
          <w:szCs w:val="28"/>
        </w:rPr>
        <w:t>￥：</w:t>
      </w:r>
      <w:r>
        <w:rPr>
          <w:rFonts w:hint="eastAsia" w:ascii="仿宋" w:hAnsi="仿宋" w:eastAsia="仿宋" w:cs="仿宋"/>
          <w:sz w:val="28"/>
          <w:szCs w:val="28"/>
          <w:lang w:val="en-US" w:eastAsia="zh-CN"/>
        </w:rPr>
        <w:t>5000</w:t>
      </w:r>
      <w:r>
        <w:rPr>
          <w:rFonts w:hint="eastAsia" w:ascii="仿宋" w:hAnsi="仿宋" w:eastAsia="仿宋" w:cs="仿宋"/>
          <w:sz w:val="28"/>
          <w:szCs w:val="28"/>
        </w:rPr>
        <w:t>元</w:t>
      </w:r>
      <w:r>
        <w:rPr>
          <w:rFonts w:hint="eastAsia" w:ascii="仿宋" w:hAnsi="仿宋" w:eastAsia="仿宋"/>
          <w:sz w:val="28"/>
          <w:szCs w:val="28"/>
        </w:rPr>
        <w:t xml:space="preserve">） </w:t>
      </w:r>
    </w:p>
    <w:p w14:paraId="09ABA2B6">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投标保证金交纳时间：202</w:t>
      </w:r>
      <w:r>
        <w:rPr>
          <w:rFonts w:hint="eastAsia" w:ascii="仿宋" w:hAnsi="仿宋" w:eastAsia="仿宋"/>
          <w:sz w:val="28"/>
          <w:szCs w:val="28"/>
          <w:lang w:val="en-US" w:eastAsia="zh-CN"/>
        </w:rPr>
        <w:t>6</w:t>
      </w:r>
      <w:r>
        <w:rPr>
          <w:rFonts w:hint="eastAsia" w:ascii="仿宋" w:hAnsi="仿宋" w:eastAsia="仿宋"/>
          <w:sz w:val="28"/>
          <w:szCs w:val="28"/>
        </w:rPr>
        <w:t>年</w:t>
      </w:r>
      <w:r>
        <w:rPr>
          <w:rFonts w:hint="eastAsia" w:ascii="仿宋" w:hAnsi="仿宋" w:eastAsia="仿宋"/>
          <w:sz w:val="28"/>
          <w:szCs w:val="28"/>
          <w:lang w:val="en-US" w:eastAsia="zh-CN"/>
        </w:rPr>
        <w:t>3</w:t>
      </w:r>
      <w:r>
        <w:rPr>
          <w:rFonts w:hint="eastAsia" w:ascii="仿宋" w:hAnsi="仿宋" w:eastAsia="仿宋"/>
          <w:sz w:val="28"/>
          <w:szCs w:val="28"/>
        </w:rPr>
        <w:t>月</w:t>
      </w:r>
      <w:r>
        <w:rPr>
          <w:rFonts w:hint="eastAsia" w:ascii="仿宋" w:hAnsi="仿宋" w:eastAsia="仿宋"/>
          <w:sz w:val="28"/>
          <w:szCs w:val="28"/>
          <w:lang w:val="en-US" w:eastAsia="zh-CN"/>
        </w:rPr>
        <w:t>13</w:t>
      </w:r>
      <w:r>
        <w:rPr>
          <w:rFonts w:hint="eastAsia" w:ascii="仿宋" w:hAnsi="仿宋" w:eastAsia="仿宋"/>
          <w:sz w:val="28"/>
          <w:szCs w:val="28"/>
        </w:rPr>
        <w:t>日12:00时（北京时间）前到账，投标截止时间之后递交的投标保证金将被拒绝。公对公电汇转账方式缴纳（不接受现金及个人转账）。 最终以</w:t>
      </w:r>
      <w:r>
        <w:rPr>
          <w:rFonts w:hint="eastAsia" w:ascii="仿宋" w:hAnsi="仿宋" w:eastAsia="仿宋" w:cs="Times New Roman"/>
          <w:sz w:val="28"/>
          <w:szCs w:val="28"/>
        </w:rPr>
        <w:t>洛阳万基宏远电力有限公司</w:t>
      </w:r>
      <w:r>
        <w:rPr>
          <w:rFonts w:hint="eastAsia" w:ascii="仿宋" w:hAnsi="仿宋" w:eastAsia="仿宋"/>
          <w:sz w:val="28"/>
          <w:szCs w:val="28"/>
        </w:rPr>
        <w:t>财务所开收到凭证为准。</w:t>
      </w:r>
    </w:p>
    <w:p w14:paraId="188DC7C2">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招标人指定的投标保证金的接收单位：</w:t>
      </w:r>
    </w:p>
    <w:p w14:paraId="28E81971">
      <w:pPr>
        <w:spacing w:line="460" w:lineRule="exact"/>
        <w:ind w:firstLine="560" w:firstLineChars="200"/>
        <w:rPr>
          <w:rFonts w:hint="eastAsia" w:ascii="仿宋" w:hAnsi="仿宋" w:eastAsia="仿宋"/>
          <w:b/>
          <w:color w:val="FF0000"/>
          <w:sz w:val="28"/>
          <w:szCs w:val="28"/>
        </w:rPr>
      </w:pPr>
      <w:r>
        <w:rPr>
          <w:rFonts w:hint="eastAsia" w:ascii="仿宋" w:hAnsi="仿宋" w:eastAsia="仿宋"/>
          <w:sz w:val="28"/>
          <w:szCs w:val="28"/>
        </w:rPr>
        <w:t>单位名称：</w:t>
      </w:r>
      <w:r>
        <w:rPr>
          <w:rFonts w:hint="eastAsia" w:ascii="仿宋" w:hAnsi="仿宋" w:eastAsia="仿宋"/>
          <w:b/>
          <w:color w:val="FF0000"/>
          <w:sz w:val="28"/>
          <w:szCs w:val="28"/>
        </w:rPr>
        <w:t>洛阳万基宏远电力有限公司</w:t>
      </w:r>
    </w:p>
    <w:p w14:paraId="6B24DE69">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开 户 行：</w:t>
      </w:r>
      <w:r>
        <w:rPr>
          <w:rFonts w:hint="eastAsia" w:ascii="仿宋" w:hAnsi="仿宋" w:eastAsia="仿宋"/>
          <w:b/>
          <w:color w:val="FF0000"/>
          <w:sz w:val="28"/>
          <w:szCs w:val="28"/>
        </w:rPr>
        <w:t>中国工商银行股份有限公司新安县支行</w:t>
      </w:r>
    </w:p>
    <w:p w14:paraId="00756499">
      <w:pPr>
        <w:spacing w:line="460" w:lineRule="exact"/>
        <w:ind w:firstLine="560" w:firstLineChars="200"/>
        <w:rPr>
          <w:rFonts w:hint="eastAsia" w:ascii="仿宋" w:hAnsi="仿宋" w:eastAsia="仿宋"/>
          <w:b/>
          <w:color w:val="FF0000"/>
          <w:sz w:val="28"/>
          <w:szCs w:val="28"/>
        </w:rPr>
      </w:pPr>
      <w:r>
        <w:rPr>
          <w:rFonts w:hint="eastAsia" w:ascii="仿宋" w:hAnsi="仿宋" w:eastAsia="仿宋"/>
          <w:sz w:val="28"/>
          <w:szCs w:val="28"/>
        </w:rPr>
        <w:t>账    号：</w:t>
      </w:r>
      <w:r>
        <w:rPr>
          <w:rFonts w:hint="eastAsia" w:ascii="仿宋" w:hAnsi="仿宋" w:eastAsia="仿宋"/>
          <w:b/>
          <w:color w:val="FF0000"/>
          <w:sz w:val="28"/>
          <w:szCs w:val="28"/>
        </w:rPr>
        <w:t>1705027609200195684</w:t>
      </w:r>
    </w:p>
    <w:p w14:paraId="748D6A64">
      <w:pPr>
        <w:spacing w:line="460" w:lineRule="exact"/>
        <w:ind w:firstLine="560" w:firstLineChars="200"/>
        <w:rPr>
          <w:rFonts w:hint="eastAsia" w:ascii="仿宋" w:hAnsi="仿宋" w:eastAsia="仿宋"/>
          <w:b/>
          <w:color w:val="FF0000"/>
          <w:sz w:val="28"/>
          <w:szCs w:val="28"/>
        </w:rPr>
      </w:pPr>
      <w:r>
        <w:rPr>
          <w:rFonts w:hint="eastAsia" w:ascii="仿宋" w:hAnsi="仿宋" w:eastAsia="仿宋"/>
          <w:sz w:val="28"/>
          <w:szCs w:val="28"/>
        </w:rPr>
        <w:t>保证金退还：</w:t>
      </w:r>
    </w:p>
    <w:p w14:paraId="7037875F">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未中标的投标人的投标保证金，将在招标机构发出《中标通知书》后15日内予以无息退还。</w:t>
      </w:r>
    </w:p>
    <w:p w14:paraId="1D5129E5">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中标人的投标保证金，在签订了合同且满足履约条件后，招标机构将通过投标单位账户全额无息退还。</w:t>
      </w:r>
    </w:p>
    <w:p w14:paraId="4DC0FCB3">
      <w:pPr>
        <w:spacing w:line="460" w:lineRule="exact"/>
        <w:ind w:firstLine="560" w:firstLineChars="200"/>
        <w:rPr>
          <w:rFonts w:hint="eastAsia" w:ascii="仿宋" w:hAnsi="仿宋" w:eastAsia="仿宋"/>
          <w:b/>
          <w:color w:val="FF0000"/>
          <w:sz w:val="28"/>
          <w:szCs w:val="28"/>
        </w:rPr>
      </w:pPr>
      <w:r>
        <w:rPr>
          <w:rFonts w:hint="eastAsia" w:ascii="仿宋" w:hAnsi="仿宋" w:eastAsia="仿宋"/>
          <w:sz w:val="28"/>
          <w:szCs w:val="28"/>
        </w:rPr>
        <w:t>发生以下情况之一者，投标保证金将不予退还：</w:t>
      </w:r>
    </w:p>
    <w:p w14:paraId="7FAB35F1">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I.投标人在投标报价有效期内撤回、修改其投标报价（含报价说明）；</w:t>
      </w:r>
    </w:p>
    <w:p w14:paraId="6641535D">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II. 投标人以他人名义投标、相互串通投标或者以其他方式弄虚作假的，投标人提交虚假资料或失实资料；</w:t>
      </w:r>
    </w:p>
    <w:p w14:paraId="7327F784">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III.投标人被通知中标后，拒绝在规定时间按报价及招标文件要求签订技术协议及商务合同；</w:t>
      </w:r>
    </w:p>
    <w:p w14:paraId="5F4F6FE6">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IV. 投标人违反纪律与保密的有关规定；</w:t>
      </w:r>
    </w:p>
    <w:p w14:paraId="75EDC00C">
      <w:pPr>
        <w:spacing w:line="460" w:lineRule="exact"/>
        <w:ind w:firstLine="560" w:firstLineChars="200"/>
        <w:rPr>
          <w:rFonts w:hint="eastAsia" w:ascii="仿宋" w:hAnsi="仿宋" w:eastAsia="仿宋"/>
          <w:sz w:val="28"/>
          <w:szCs w:val="24"/>
        </w:rPr>
      </w:pPr>
      <w:r>
        <w:rPr>
          <w:rFonts w:hint="eastAsia" w:ascii="仿宋" w:hAnsi="仿宋" w:eastAsia="仿宋"/>
          <w:sz w:val="28"/>
          <w:szCs w:val="28"/>
        </w:rPr>
        <w:t>V.</w:t>
      </w:r>
      <w:r>
        <w:rPr>
          <w:rFonts w:hint="eastAsia" w:ascii="仿宋" w:hAnsi="仿宋" w:eastAsia="仿宋"/>
          <w:spacing w:val="-20"/>
          <w:sz w:val="28"/>
          <w:szCs w:val="28"/>
        </w:rPr>
        <w:t>若 中标人违约，则该笔保证金将予以扣除，并将投标人列入信用黑名单。</w:t>
      </w:r>
    </w:p>
    <w:p w14:paraId="4D44811F">
      <w:pPr>
        <w:spacing w:line="700" w:lineRule="exact"/>
        <w:rPr>
          <w:rFonts w:hint="eastAsia" w:ascii="仿宋" w:hAnsi="仿宋" w:eastAsia="仿宋"/>
          <w:sz w:val="28"/>
          <w:szCs w:val="24"/>
        </w:rPr>
      </w:pPr>
      <w:r>
        <w:rPr>
          <w:rFonts w:hint="eastAsia" w:ascii="仿宋" w:hAnsi="仿宋" w:eastAsia="仿宋"/>
          <w:sz w:val="28"/>
          <w:szCs w:val="24"/>
        </w:rPr>
        <w:t>附件</w:t>
      </w:r>
      <w:r>
        <w:rPr>
          <w:rFonts w:ascii="仿宋" w:hAnsi="仿宋" w:eastAsia="仿宋"/>
          <w:sz w:val="28"/>
          <w:szCs w:val="24"/>
        </w:rPr>
        <w:t xml:space="preserve">1 </w:t>
      </w:r>
      <w:r>
        <w:rPr>
          <w:rFonts w:hint="eastAsia" w:ascii="仿宋" w:hAnsi="仿宋" w:eastAsia="仿宋"/>
          <w:sz w:val="28"/>
          <w:szCs w:val="24"/>
        </w:rPr>
        <w:t>廉政承诺书</w:t>
      </w:r>
    </w:p>
    <w:p w14:paraId="7DB95F54">
      <w:pPr>
        <w:spacing w:line="480" w:lineRule="exact"/>
        <w:jc w:val="center"/>
        <w:rPr>
          <w:rFonts w:hint="eastAsia" w:ascii="宋体" w:hAnsi="宋体" w:cs="宋体"/>
          <w:b/>
          <w:bCs/>
          <w:sz w:val="44"/>
          <w:szCs w:val="44"/>
        </w:rPr>
      </w:pPr>
    </w:p>
    <w:p w14:paraId="51D92C6D">
      <w:pPr>
        <w:spacing w:line="480" w:lineRule="exact"/>
        <w:jc w:val="center"/>
        <w:rPr>
          <w:rFonts w:hint="eastAsia" w:ascii="宋体" w:hAnsi="宋体" w:cs="宋体"/>
          <w:b/>
          <w:bCs/>
          <w:sz w:val="44"/>
          <w:szCs w:val="44"/>
        </w:rPr>
      </w:pPr>
    </w:p>
    <w:p w14:paraId="3BC2C812">
      <w:pPr>
        <w:spacing w:line="480" w:lineRule="exact"/>
        <w:jc w:val="center"/>
        <w:rPr>
          <w:rFonts w:hint="eastAsia" w:ascii="宋体" w:hAnsi="宋体" w:cs="宋体"/>
          <w:b/>
          <w:bCs/>
          <w:sz w:val="44"/>
          <w:szCs w:val="44"/>
        </w:rPr>
      </w:pPr>
      <w:r>
        <w:rPr>
          <w:rFonts w:hint="eastAsia" w:ascii="宋体" w:hAnsi="宋体" w:cs="宋体"/>
          <w:b/>
          <w:bCs/>
          <w:sz w:val="44"/>
          <w:szCs w:val="44"/>
        </w:rPr>
        <w:t>投标人廉政承诺书</w:t>
      </w:r>
    </w:p>
    <w:p w14:paraId="6810DA93">
      <w:pPr>
        <w:spacing w:line="480" w:lineRule="exact"/>
        <w:ind w:firstLine="640" w:firstLineChars="200"/>
        <w:rPr>
          <w:rFonts w:ascii="仿宋" w:hAnsi="仿宋" w:eastAsia="仿宋"/>
          <w:sz w:val="32"/>
          <w:szCs w:val="32"/>
        </w:rPr>
      </w:pPr>
    </w:p>
    <w:p w14:paraId="54EE466D">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为加强招标投标活动中的廉政建设，防止发生违法违纪行为，体现公开、公平、公正的原则，根据国家有关法律、法规和廉政建设责任制的规定，本投标人特作出如下承诺： </w:t>
      </w:r>
    </w:p>
    <w:p w14:paraId="6EE03C3A">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1、不与招标人、招标代理机构及其他投标人私下串通协商，进行围标、串标、抬标，控制投标价格。  </w:t>
      </w:r>
    </w:p>
    <w:p w14:paraId="1DAD81E7">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2、不向招标人、招标代理机构、评标专家(小组成员)行贿，以不正当手段谋取中标。 </w:t>
      </w:r>
    </w:p>
    <w:p w14:paraId="71BAEEFD">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3、不向招标投标监管人员请客、送礼及组织其它有可能影响客观公正监管的活动。  </w:t>
      </w:r>
    </w:p>
    <w:p w14:paraId="3F29ED10">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4、自觉遵守开标、评标现场工作纪律，不私下接触评标专家(小组成员)，不打听内部信息、秘密，不干扰正常的开标评标秩序。  </w:t>
      </w:r>
    </w:p>
    <w:p w14:paraId="54AD78C6">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5、不给责任人的违法违规行为说情。 </w:t>
      </w:r>
    </w:p>
    <w:p w14:paraId="702915D5">
      <w:pPr>
        <w:spacing w:line="420" w:lineRule="exact"/>
        <w:ind w:firstLine="640" w:firstLineChars="200"/>
        <w:rPr>
          <w:rFonts w:hint="eastAsia" w:ascii="仿宋" w:hAnsi="仿宋" w:eastAsia="仿宋"/>
          <w:sz w:val="32"/>
          <w:szCs w:val="32"/>
        </w:rPr>
      </w:pPr>
      <w:r>
        <w:rPr>
          <w:rFonts w:hint="eastAsia" w:ascii="仿宋" w:hAnsi="仿宋" w:eastAsia="仿宋"/>
          <w:sz w:val="32"/>
          <w:szCs w:val="32"/>
        </w:rPr>
        <w:t>7、不发生</w:t>
      </w:r>
      <w:r>
        <w:rPr>
          <w:rFonts w:ascii="仿宋" w:hAnsi="仿宋" w:eastAsia="仿宋"/>
          <w:sz w:val="32"/>
          <w:szCs w:val="32"/>
        </w:rPr>
        <w:t>中标后无合理缘由不签订合同</w:t>
      </w:r>
      <w:r>
        <w:rPr>
          <w:rFonts w:hint="eastAsia" w:ascii="仿宋" w:hAnsi="仿宋" w:eastAsia="仿宋"/>
          <w:sz w:val="32"/>
          <w:szCs w:val="32"/>
        </w:rPr>
        <w:t>的行为。</w:t>
      </w:r>
    </w:p>
    <w:p w14:paraId="06018389">
      <w:pPr>
        <w:spacing w:line="420" w:lineRule="exact"/>
        <w:ind w:firstLine="640" w:firstLineChars="200"/>
        <w:rPr>
          <w:rFonts w:hint="eastAsia" w:ascii="仿宋" w:hAnsi="仿宋" w:eastAsia="仿宋"/>
          <w:sz w:val="32"/>
          <w:szCs w:val="32"/>
        </w:rPr>
      </w:pPr>
      <w:r>
        <w:rPr>
          <w:rFonts w:hint="eastAsia" w:ascii="仿宋" w:hAnsi="仿宋" w:eastAsia="仿宋"/>
          <w:sz w:val="32"/>
          <w:szCs w:val="32"/>
        </w:rPr>
        <w:t>8、不发生其他</w:t>
      </w:r>
      <w:r>
        <w:rPr>
          <w:rFonts w:ascii="仿宋" w:hAnsi="仿宋" w:eastAsia="仿宋"/>
          <w:sz w:val="32"/>
          <w:szCs w:val="32"/>
        </w:rPr>
        <w:t>违反</w:t>
      </w:r>
      <w:r>
        <w:rPr>
          <w:rFonts w:hint="eastAsia" w:ascii="仿宋" w:hAnsi="仿宋" w:eastAsia="仿宋"/>
          <w:sz w:val="32"/>
          <w:szCs w:val="32"/>
        </w:rPr>
        <w:t>招投标法律法规的行为。</w:t>
      </w:r>
    </w:p>
    <w:p w14:paraId="0EB12419">
      <w:pPr>
        <w:spacing w:line="420" w:lineRule="exact"/>
        <w:ind w:firstLine="640" w:firstLineChars="200"/>
        <w:rPr>
          <w:rFonts w:ascii="仿宋" w:hAnsi="仿宋" w:eastAsia="仿宋"/>
          <w:sz w:val="32"/>
          <w:szCs w:val="32"/>
        </w:rPr>
      </w:pPr>
      <w:r>
        <w:rPr>
          <w:rFonts w:hint="eastAsia" w:ascii="仿宋" w:hAnsi="仿宋" w:eastAsia="仿宋"/>
          <w:sz w:val="32"/>
          <w:szCs w:val="32"/>
        </w:rPr>
        <w:t>9、不发生其他不廉洁、不正当行为，包括但不限于给予招标人工作人员及近亲属、特定关系人请吃请喝、购物卡、现金、高档礼品、高档消费、违规合作经商等行为。</w:t>
      </w:r>
    </w:p>
    <w:p w14:paraId="3F7CF51C">
      <w:pPr>
        <w:spacing w:line="420" w:lineRule="exact"/>
        <w:ind w:firstLine="643" w:firstLineChars="200"/>
        <w:rPr>
          <w:rFonts w:ascii="仿宋" w:hAnsi="仿宋" w:eastAsia="仿宋"/>
          <w:b/>
          <w:bCs/>
          <w:sz w:val="32"/>
          <w:szCs w:val="32"/>
          <w:u w:val="single"/>
        </w:rPr>
      </w:pPr>
      <w:r>
        <w:rPr>
          <w:rFonts w:hint="eastAsia" w:ascii="仿宋" w:hAnsi="仿宋" w:eastAsia="仿宋"/>
          <w:b/>
          <w:bCs/>
          <w:sz w:val="32"/>
          <w:szCs w:val="32"/>
          <w:u w:val="single"/>
        </w:rPr>
        <w:t>若发生上述行为，招标人有权采取以下措施追究投标人责任：包括但不限于没收全部投标保证金，要求投标人按本次招投标对应经济合同总额的20%支付违约金（如中标），并将投标人列入黑名单；如没收投标保证金、违约金不</w:t>
      </w:r>
      <w:r>
        <w:rPr>
          <w:rFonts w:ascii="仿宋" w:hAnsi="仿宋" w:eastAsia="仿宋"/>
          <w:b/>
          <w:bCs/>
          <w:sz w:val="32"/>
          <w:szCs w:val="32"/>
          <w:u w:val="single"/>
        </w:rPr>
        <w:t>足以弥补招标人损失的，同意赔偿招标人的全部损失。</w:t>
      </w:r>
    </w:p>
    <w:p w14:paraId="28E9C72E">
      <w:pPr>
        <w:spacing w:line="420" w:lineRule="exact"/>
        <w:rPr>
          <w:rFonts w:ascii="仿宋" w:hAnsi="仿宋" w:eastAsia="仿宋"/>
          <w:sz w:val="32"/>
          <w:szCs w:val="32"/>
        </w:rPr>
      </w:pPr>
    </w:p>
    <w:p w14:paraId="272A06F8">
      <w:pPr>
        <w:spacing w:line="420" w:lineRule="exact"/>
        <w:ind w:firstLine="2240" w:firstLineChars="700"/>
        <w:jc w:val="left"/>
        <w:rPr>
          <w:rFonts w:ascii="仿宋" w:hAnsi="仿宋" w:eastAsia="仿宋"/>
          <w:sz w:val="32"/>
          <w:szCs w:val="32"/>
        </w:rPr>
      </w:pPr>
      <w:r>
        <w:rPr>
          <w:rFonts w:hint="eastAsia" w:ascii="仿宋" w:hAnsi="仿宋" w:eastAsia="仿宋"/>
          <w:sz w:val="32"/>
          <w:szCs w:val="32"/>
        </w:rPr>
        <w:t>投标人：</w:t>
      </w:r>
      <w:r>
        <w:rPr>
          <w:rFonts w:hint="eastAsia" w:ascii="仿宋" w:hAnsi="仿宋" w:eastAsia="仿宋"/>
          <w:sz w:val="32"/>
          <w:szCs w:val="32"/>
          <w:u w:val="single"/>
        </w:rPr>
        <w:t xml:space="preserve">                   </w:t>
      </w:r>
      <w:r>
        <w:rPr>
          <w:rFonts w:hint="eastAsia" w:ascii="仿宋" w:hAnsi="仿宋" w:eastAsia="仿宋"/>
          <w:sz w:val="32"/>
          <w:szCs w:val="32"/>
        </w:rPr>
        <w:t>（盖单位章）</w:t>
      </w:r>
    </w:p>
    <w:p w14:paraId="53335D9C">
      <w:pPr>
        <w:spacing w:line="420" w:lineRule="exact"/>
        <w:ind w:firstLine="640" w:firstLineChars="200"/>
        <w:jc w:val="left"/>
        <w:rPr>
          <w:rFonts w:ascii="仿宋" w:hAnsi="仿宋" w:eastAsia="仿宋"/>
          <w:sz w:val="32"/>
          <w:szCs w:val="32"/>
        </w:rPr>
      </w:pPr>
      <w:r>
        <w:rPr>
          <w:rFonts w:hint="eastAsia" w:ascii="仿宋" w:hAnsi="仿宋" w:eastAsia="仿宋"/>
          <w:sz w:val="32"/>
          <w:szCs w:val="32"/>
        </w:rPr>
        <w:t>投标代表人或法定代表人：</w:t>
      </w:r>
      <w:r>
        <w:rPr>
          <w:rFonts w:hint="eastAsia" w:ascii="仿宋" w:hAnsi="仿宋" w:eastAsia="仿宋"/>
          <w:sz w:val="32"/>
          <w:szCs w:val="32"/>
          <w:u w:val="single"/>
        </w:rPr>
        <w:t xml:space="preserve">           </w:t>
      </w:r>
      <w:r>
        <w:rPr>
          <w:rFonts w:hint="eastAsia" w:ascii="仿宋" w:hAnsi="仿宋" w:eastAsia="仿宋"/>
          <w:sz w:val="32"/>
          <w:szCs w:val="32"/>
        </w:rPr>
        <w:t>（签字或盖章）</w:t>
      </w:r>
    </w:p>
    <w:p w14:paraId="0129F57F">
      <w:pPr>
        <w:spacing w:line="420" w:lineRule="exact"/>
        <w:ind w:firstLine="4800" w:firstLineChars="1500"/>
        <w:rPr>
          <w:rFonts w:hint="eastAsia" w:ascii="仿宋" w:hAnsi="仿宋" w:eastAsia="仿宋"/>
          <w:sz w:val="32"/>
          <w:szCs w:val="32"/>
        </w:rPr>
      </w:pPr>
      <w:r>
        <w:rPr>
          <w:rFonts w:hint="eastAsia" w:ascii="仿宋" w:hAnsi="仿宋" w:eastAsia="仿宋"/>
          <w:sz w:val="32"/>
          <w:szCs w:val="32"/>
        </w:rPr>
        <w:t>2026年    月    日</w:t>
      </w:r>
    </w:p>
    <w:p w14:paraId="1FAC1C7E">
      <w:pPr>
        <w:spacing w:line="520" w:lineRule="exact"/>
        <w:rPr>
          <w:rFonts w:hint="eastAsia" w:ascii="仿宋" w:hAnsi="仿宋" w:eastAsia="仿宋"/>
          <w:sz w:val="28"/>
          <w:szCs w:val="24"/>
        </w:rPr>
      </w:pPr>
    </w:p>
    <w:p w14:paraId="088836C3">
      <w:pPr>
        <w:spacing w:line="500" w:lineRule="exact"/>
        <w:rPr>
          <w:rFonts w:hint="eastAsia" w:ascii="仿宋" w:hAnsi="仿宋" w:eastAsia="仿宋"/>
          <w:sz w:val="28"/>
          <w:szCs w:val="28"/>
        </w:rPr>
      </w:pPr>
    </w:p>
    <w:p w14:paraId="3E8AC17A">
      <w:pPr>
        <w:spacing w:line="500" w:lineRule="exact"/>
        <w:rPr>
          <w:rFonts w:hint="eastAsia" w:ascii="仿宋" w:hAnsi="仿宋" w:eastAsia="仿宋"/>
          <w:sz w:val="28"/>
          <w:szCs w:val="28"/>
        </w:rPr>
      </w:pPr>
    </w:p>
    <w:p w14:paraId="79DB1FE6">
      <w:pPr>
        <w:spacing w:line="500" w:lineRule="exact"/>
        <w:rPr>
          <w:rFonts w:hint="eastAsia" w:ascii="仿宋" w:hAnsi="仿宋" w:eastAsia="仿宋"/>
          <w:sz w:val="28"/>
          <w:szCs w:val="28"/>
        </w:rPr>
      </w:pPr>
    </w:p>
    <w:p w14:paraId="2E0AD18A">
      <w:pPr>
        <w:spacing w:line="500" w:lineRule="exact"/>
        <w:rPr>
          <w:rFonts w:hint="eastAsia" w:ascii="仿宋" w:hAnsi="仿宋" w:eastAsia="仿宋"/>
          <w:sz w:val="28"/>
          <w:szCs w:val="28"/>
        </w:rPr>
      </w:pPr>
      <w:r>
        <w:rPr>
          <w:rFonts w:hint="eastAsia" w:ascii="仿宋" w:hAnsi="仿宋" w:eastAsia="仿宋"/>
          <w:sz w:val="28"/>
          <w:szCs w:val="28"/>
        </w:rPr>
        <w:t>附件</w:t>
      </w:r>
      <w:r>
        <w:rPr>
          <w:rFonts w:ascii="仿宋" w:hAnsi="仿宋" w:eastAsia="仿宋"/>
          <w:sz w:val="28"/>
          <w:szCs w:val="28"/>
        </w:rPr>
        <w:t>2</w:t>
      </w:r>
      <w:r>
        <w:rPr>
          <w:rFonts w:hint="eastAsia" w:ascii="仿宋" w:hAnsi="仿宋" w:eastAsia="仿宋"/>
          <w:sz w:val="28"/>
          <w:szCs w:val="28"/>
        </w:rPr>
        <w:t xml:space="preserve">  投标人承诺函(格式)</w:t>
      </w:r>
    </w:p>
    <w:p w14:paraId="7015744B">
      <w:pPr>
        <w:spacing w:line="500" w:lineRule="exact"/>
        <w:rPr>
          <w:rFonts w:hint="eastAsia" w:ascii="仿宋" w:hAnsi="仿宋" w:eastAsia="仿宋"/>
          <w:sz w:val="40"/>
          <w:szCs w:val="44"/>
        </w:rPr>
      </w:pPr>
    </w:p>
    <w:p w14:paraId="021B674C">
      <w:pPr>
        <w:spacing w:line="500" w:lineRule="exact"/>
        <w:ind w:firstLine="3200" w:firstLineChars="800"/>
        <w:rPr>
          <w:rFonts w:hint="eastAsia" w:ascii="仿宋" w:hAnsi="仿宋" w:eastAsia="仿宋"/>
          <w:sz w:val="40"/>
          <w:szCs w:val="44"/>
        </w:rPr>
      </w:pPr>
      <w:r>
        <w:rPr>
          <w:rFonts w:hint="eastAsia" w:ascii="仿宋" w:hAnsi="仿宋" w:eastAsia="仿宋"/>
          <w:sz w:val="40"/>
          <w:szCs w:val="44"/>
        </w:rPr>
        <w:t>投标人承诺函</w:t>
      </w:r>
    </w:p>
    <w:p w14:paraId="7056806F">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 xml:space="preserve">                                        项目名称：             </w:t>
      </w:r>
    </w:p>
    <w:p w14:paraId="418A1A83">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 xml:space="preserve">                                        日    期：             </w:t>
      </w:r>
    </w:p>
    <w:p w14:paraId="6A27EBA1">
      <w:pPr>
        <w:spacing w:line="500" w:lineRule="exact"/>
        <w:rPr>
          <w:rFonts w:hint="eastAsia" w:ascii="仿宋" w:hAnsi="仿宋" w:eastAsia="仿宋"/>
          <w:sz w:val="28"/>
          <w:szCs w:val="28"/>
        </w:rPr>
      </w:pPr>
      <w:r>
        <w:rPr>
          <w:rFonts w:hint="eastAsia" w:ascii="仿宋" w:hAnsi="仿宋" w:eastAsia="仿宋"/>
          <w:sz w:val="28"/>
          <w:szCs w:val="28"/>
        </w:rPr>
        <w:t>致：(招标机构名称)</w:t>
      </w:r>
    </w:p>
    <w:p w14:paraId="188769BD">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 xml:space="preserve">  (招标人名称)  </w:t>
      </w:r>
    </w:p>
    <w:p w14:paraId="1DF040DE">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很荣幸能参与上述项目的投标。</w:t>
      </w:r>
    </w:p>
    <w:p w14:paraId="24F549E2">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我代表(投标人名称)，在此作如下承诺：</w:t>
      </w:r>
    </w:p>
    <w:p w14:paraId="712036A5">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1、完全理解和接受招标文件的一切规定和要求。</w:t>
      </w:r>
    </w:p>
    <w:p w14:paraId="7BDD4615">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2、投标报价在投标有效期和合同有效期内，该报价固定不变。</w:t>
      </w:r>
    </w:p>
    <w:p w14:paraId="72D6946E">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3、若中标，我方将按照招标文件的具体规定与项目法人签订合同，并且严格履行合同义务，按时完工，为项目提供优质的设备和服务。如果在合同执行过程中，发现合同设备质量问题，我方一定尽快修理更换/返工，并承担相应的经济责任。</w:t>
      </w:r>
    </w:p>
    <w:p w14:paraId="2D092318">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4、在整个招标过程中，我方若有违规行为，贵方可按招标文件之规定给予处理，我方完全接受。</w:t>
      </w:r>
    </w:p>
    <w:p w14:paraId="52940F2F">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5、若中标，本承诺函将成为合同不可分割的一部分，与合同具有同等的法律效力。</w:t>
      </w:r>
    </w:p>
    <w:p w14:paraId="15175226">
      <w:pPr>
        <w:spacing w:line="500" w:lineRule="exact"/>
        <w:rPr>
          <w:rFonts w:hint="eastAsia" w:ascii="仿宋" w:hAnsi="仿宋" w:eastAsia="仿宋"/>
          <w:sz w:val="28"/>
          <w:szCs w:val="28"/>
        </w:rPr>
      </w:pPr>
    </w:p>
    <w:p w14:paraId="3AB727A3">
      <w:pPr>
        <w:spacing w:line="500" w:lineRule="exact"/>
        <w:ind w:firstLine="5600" w:firstLineChars="2000"/>
        <w:rPr>
          <w:rFonts w:hint="eastAsia" w:ascii="仿宋" w:hAnsi="仿宋" w:eastAsia="仿宋"/>
          <w:sz w:val="28"/>
          <w:szCs w:val="28"/>
        </w:rPr>
      </w:pPr>
      <w:r>
        <w:rPr>
          <w:rFonts w:hint="eastAsia" w:ascii="仿宋" w:hAnsi="仿宋" w:eastAsia="仿宋"/>
          <w:sz w:val="28"/>
          <w:szCs w:val="28"/>
        </w:rPr>
        <w:t xml:space="preserve">投标人代表签字：               </w:t>
      </w:r>
    </w:p>
    <w:p w14:paraId="1F787C06">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 xml:space="preserve">                                    投标人公章： </w:t>
      </w:r>
    </w:p>
    <w:p w14:paraId="6C3AA38E">
      <w:pPr>
        <w:spacing w:line="500" w:lineRule="exact"/>
        <w:ind w:firstLine="560" w:firstLineChars="200"/>
        <w:rPr>
          <w:rFonts w:hint="eastAsia"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日期：</w:t>
      </w:r>
    </w:p>
    <w:p w14:paraId="20A17354">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 xml:space="preserve">                   </w:t>
      </w:r>
    </w:p>
    <w:p w14:paraId="6CD210FD">
      <w:pPr>
        <w:spacing w:line="500" w:lineRule="exact"/>
        <w:ind w:firstLine="560" w:firstLineChars="200"/>
        <w:rPr>
          <w:rFonts w:hint="eastAsia" w:ascii="仿宋" w:hAnsi="仿宋" w:eastAsia="仿宋"/>
          <w:sz w:val="28"/>
          <w:szCs w:val="28"/>
        </w:rPr>
      </w:pPr>
    </w:p>
    <w:p w14:paraId="51E2B1F2">
      <w:pPr>
        <w:spacing w:line="500" w:lineRule="exact"/>
        <w:ind w:firstLine="560" w:firstLineChars="200"/>
        <w:rPr>
          <w:rFonts w:hint="eastAsia" w:ascii="仿宋" w:hAnsi="仿宋" w:eastAsia="仿宋"/>
          <w:sz w:val="28"/>
          <w:szCs w:val="28"/>
        </w:rPr>
      </w:pPr>
    </w:p>
    <w:p w14:paraId="447FB1EB">
      <w:pPr>
        <w:spacing w:line="360" w:lineRule="auto"/>
      </w:pPr>
    </w:p>
    <w:p w14:paraId="76A8BEC2">
      <w:pPr>
        <w:pStyle w:val="45"/>
        <w:spacing w:line="240" w:lineRule="auto"/>
        <w:jc w:val="both"/>
        <w:rPr>
          <w:rFonts w:hint="eastAsia" w:ascii="仿宋" w:hAnsi="仿宋" w:eastAsia="仿宋" w:cs="仿宋_GB2312"/>
          <w:snapToGrid/>
          <w:color w:val="000000" w:themeColor="text1"/>
          <w:szCs w:val="28"/>
          <w14:textFill>
            <w14:solidFill>
              <w14:schemeClr w14:val="tx1"/>
            </w14:solidFill>
          </w14:textFill>
        </w:rPr>
      </w:pPr>
    </w:p>
    <w:p w14:paraId="1304390D">
      <w:pPr>
        <w:pStyle w:val="45"/>
        <w:spacing w:line="240" w:lineRule="auto"/>
        <w:jc w:val="both"/>
        <w:rPr>
          <w:rFonts w:hint="eastAsia" w:ascii="仿宋" w:hAnsi="仿宋" w:eastAsia="仿宋"/>
          <w:color w:val="000000" w:themeColor="text1"/>
          <w:szCs w:val="28"/>
          <w14:textFill>
            <w14:solidFill>
              <w14:schemeClr w14:val="tx1"/>
            </w14:solidFill>
          </w14:textFill>
        </w:rPr>
      </w:pPr>
      <w:bookmarkStart w:id="1" w:name="_Toc168067557"/>
      <w:r>
        <w:rPr>
          <w:rFonts w:hint="eastAsia" w:ascii="仿宋" w:hAnsi="仿宋" w:eastAsia="仿宋" w:cs="仿宋_GB2312"/>
          <w:snapToGrid/>
          <w:color w:val="000000" w:themeColor="text1"/>
          <w:szCs w:val="28"/>
          <w14:textFill>
            <w14:solidFill>
              <w14:schemeClr w14:val="tx1"/>
            </w14:solidFill>
          </w14:textFill>
        </w:rPr>
        <w:t>附件</w:t>
      </w:r>
      <w:r>
        <w:rPr>
          <w:rFonts w:ascii="仿宋" w:hAnsi="仿宋" w:eastAsia="仿宋" w:cs="仿宋_GB2312"/>
          <w:snapToGrid/>
          <w:color w:val="000000" w:themeColor="text1"/>
          <w:szCs w:val="28"/>
          <w14:textFill>
            <w14:solidFill>
              <w14:schemeClr w14:val="tx1"/>
            </w14:solidFill>
          </w14:textFill>
        </w:rPr>
        <w:t>3</w:t>
      </w:r>
      <w:r>
        <w:rPr>
          <w:rFonts w:hint="eastAsia" w:ascii="仿宋" w:hAnsi="仿宋" w:eastAsia="仿宋" w:cs="仿宋_GB2312"/>
          <w:snapToGrid/>
          <w:color w:val="000000" w:themeColor="text1"/>
          <w:szCs w:val="28"/>
          <w14:textFill>
            <w14:solidFill>
              <w14:schemeClr w14:val="tx1"/>
            </w14:solidFill>
          </w14:textFill>
        </w:rPr>
        <w:t>、投标人法定代表人授权书</w:t>
      </w:r>
      <w:bookmarkEnd w:id="1"/>
    </w:p>
    <w:p w14:paraId="240D647E">
      <w:pPr>
        <w:pStyle w:val="45"/>
        <w:spacing w:line="240" w:lineRule="exact"/>
        <w:rPr>
          <w:rFonts w:hint="eastAsia" w:ascii="仿宋" w:hAnsi="仿宋" w:eastAsia="仿宋" w:cs="仿宋_GB2312"/>
          <w:snapToGrid/>
          <w:color w:val="000000" w:themeColor="text1"/>
          <w:szCs w:val="28"/>
          <w14:textFill>
            <w14:solidFill>
              <w14:schemeClr w14:val="tx1"/>
            </w14:solidFill>
          </w14:textFill>
        </w:rPr>
      </w:pPr>
    </w:p>
    <w:p w14:paraId="198D8C51">
      <w:pPr>
        <w:pStyle w:val="45"/>
        <w:rPr>
          <w:rFonts w:hint="eastAsia" w:asciiTheme="majorEastAsia" w:hAnsiTheme="majorEastAsia" w:eastAsiaTheme="majorEastAsia"/>
          <w:b/>
          <w:bCs/>
          <w:snapToGrid/>
          <w:color w:val="000000" w:themeColor="text1"/>
          <w:sz w:val="44"/>
          <w:szCs w:val="44"/>
          <w14:textFill>
            <w14:solidFill>
              <w14:schemeClr w14:val="tx1"/>
            </w14:solidFill>
          </w14:textFill>
        </w:rPr>
      </w:pPr>
      <w:bookmarkStart w:id="2" w:name="_Toc168067558"/>
      <w:r>
        <w:rPr>
          <w:rFonts w:hint="eastAsia" w:asciiTheme="majorEastAsia" w:hAnsiTheme="majorEastAsia" w:eastAsiaTheme="majorEastAsia"/>
          <w:b/>
          <w:bCs/>
          <w:snapToGrid/>
          <w:color w:val="000000" w:themeColor="text1"/>
          <w:sz w:val="44"/>
          <w:szCs w:val="44"/>
          <w14:textFill>
            <w14:solidFill>
              <w14:schemeClr w14:val="tx1"/>
            </w14:solidFill>
          </w14:textFill>
        </w:rPr>
        <w:t>投标人法定代表人授权书</w:t>
      </w:r>
      <w:bookmarkEnd w:id="2"/>
    </w:p>
    <w:p w14:paraId="664CACE8">
      <w:pPr>
        <w:rPr>
          <w:color w:val="000000" w:themeColor="text1"/>
          <w14:textFill>
            <w14:solidFill>
              <w14:schemeClr w14:val="tx1"/>
            </w14:solidFill>
          </w14:textFill>
        </w:rPr>
      </w:pPr>
    </w:p>
    <w:p w14:paraId="269223F0">
      <w:pPr>
        <w:ind w:firstLine="5320" w:firstLineChars="1900"/>
        <w:rPr>
          <w:rFonts w:hint="eastAsia"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项目名称：</w:t>
      </w:r>
      <w:r>
        <w:rPr>
          <w:rFonts w:hint="eastAsia" w:ascii="仿宋" w:hAnsi="仿宋" w:eastAsia="仿宋" w:cs="仿宋_GB2312"/>
          <w:color w:val="000000" w:themeColor="text1"/>
          <w:sz w:val="28"/>
          <w:szCs w:val="28"/>
          <w:u w:val="single"/>
          <w14:textFill>
            <w14:solidFill>
              <w14:schemeClr w14:val="tx1"/>
            </w14:solidFill>
          </w14:textFill>
        </w:rPr>
        <w:t xml:space="preserve">               </w:t>
      </w:r>
    </w:p>
    <w:p w14:paraId="4F7977FE">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w:t>
      </w:r>
      <w:r>
        <w:rPr>
          <w:rFonts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 xml:space="preserve"> 日    期：</w:t>
      </w:r>
      <w:r>
        <w:rPr>
          <w:rFonts w:hint="eastAsia" w:ascii="仿宋" w:hAnsi="仿宋" w:eastAsia="仿宋" w:cs="仿宋_GB2312"/>
          <w:color w:val="000000" w:themeColor="text1"/>
          <w:sz w:val="28"/>
          <w:szCs w:val="28"/>
          <w:u w:val="single"/>
          <w14:textFill>
            <w14:solidFill>
              <w14:schemeClr w14:val="tx1"/>
            </w14:solidFill>
          </w14:textFill>
        </w:rPr>
        <w:t xml:space="preserve">               </w:t>
      </w:r>
    </w:p>
    <w:p w14:paraId="01FD21E5">
      <w:pPr>
        <w:spacing w:line="360" w:lineRule="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万基控股集团有限公司招标办公室：</w:t>
      </w:r>
    </w:p>
    <w:p w14:paraId="670A00C4">
      <w:pPr>
        <w:spacing w:line="360" w:lineRule="auto"/>
        <w:ind w:firstLine="640" w:firstLineChars="200"/>
        <w:jc w:val="left"/>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u w:val="single"/>
          <w14:textFill>
            <w14:solidFill>
              <w14:schemeClr w14:val="tx1"/>
            </w14:solidFill>
          </w14:textFill>
        </w:rPr>
        <w:t xml:space="preserve">投标人名称 </w:t>
      </w:r>
      <w:r>
        <w:rPr>
          <w:rFonts w:hint="eastAsia" w:ascii="仿宋" w:hAnsi="仿宋" w:eastAsia="仿宋"/>
          <w:color w:val="000000" w:themeColor="text1"/>
          <w:sz w:val="32"/>
          <w:szCs w:val="32"/>
          <w14:textFill>
            <w14:solidFill>
              <w14:schemeClr w14:val="tx1"/>
            </w14:solidFill>
          </w14:textFill>
        </w:rPr>
        <w:t>)是中华人民共和国合法企业，法定地址：</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 xml:space="preserve"> 。  </w:t>
      </w:r>
      <w:r>
        <w:rPr>
          <w:rFonts w:ascii="仿宋" w:hAnsi="仿宋" w:eastAsia="仿宋"/>
          <w:color w:val="000000" w:themeColor="text1"/>
          <w:sz w:val="32"/>
          <w:szCs w:val="32"/>
          <w14:textFill>
            <w14:solidFill>
              <w14:schemeClr w14:val="tx1"/>
            </w14:solidFill>
          </w14:textFill>
        </w:rPr>
        <w:t xml:space="preserve">  </w:t>
      </w:r>
    </w:p>
    <w:p w14:paraId="05CC505A">
      <w:pPr>
        <w:spacing w:line="360" w:lineRule="auto"/>
        <w:ind w:firstLine="640" w:firstLineChars="200"/>
        <w:jc w:val="left"/>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u w:val="single"/>
          <w14:textFill>
            <w14:solidFill>
              <w14:schemeClr w14:val="tx1"/>
            </w14:solidFill>
          </w14:textFill>
        </w:rPr>
        <w:t>授权人姓名</w:t>
      </w:r>
      <w:r>
        <w:rPr>
          <w:rFonts w:hint="eastAsia" w:ascii="仿宋" w:hAnsi="仿宋" w:eastAsia="仿宋"/>
          <w:color w:val="000000" w:themeColor="text1"/>
          <w:sz w:val="32"/>
          <w:szCs w:val="32"/>
          <w14:textFill>
            <w14:solidFill>
              <w14:schemeClr w14:val="tx1"/>
            </w14:solidFill>
          </w14:textFill>
        </w:rPr>
        <w:t xml:space="preserve"> )特授权(</w:t>
      </w:r>
      <w:r>
        <w:rPr>
          <w:rFonts w:hint="eastAsia" w:ascii="仿宋" w:hAnsi="仿宋" w:eastAsia="仿宋"/>
          <w:color w:val="000000" w:themeColor="text1"/>
          <w:sz w:val="32"/>
          <w:szCs w:val="32"/>
          <w:u w:val="single"/>
          <w14:textFill>
            <w14:solidFill>
              <w14:schemeClr w14:val="tx1"/>
            </w14:solidFill>
          </w14:textFill>
        </w:rPr>
        <w:t>被授权人姓名</w:t>
      </w:r>
      <w:r>
        <w:rPr>
          <w:rFonts w:hint="eastAsia" w:ascii="仿宋" w:hAnsi="仿宋" w:eastAsia="仿宋"/>
          <w:color w:val="000000" w:themeColor="text1"/>
          <w:sz w:val="32"/>
          <w:szCs w:val="32"/>
          <w14:textFill>
            <w14:solidFill>
              <w14:schemeClr w14:val="tx1"/>
            </w14:solidFill>
          </w14:textFill>
        </w:rPr>
        <w:t>)代表我公司全权办理针上述项目的投标、谈判、签约等具体工作，并签署全部有关的文件、协议及合同，我公司对被授权人的签名负全部责任。</w:t>
      </w:r>
    </w:p>
    <w:p w14:paraId="0A333B74">
      <w:pPr>
        <w:spacing w:line="360" w:lineRule="auto"/>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在撤销授权的书面通知送达贵司以前，本授权书一直有效。被授权人签署的所有文件(在授权书有效期内签署的)不因授权的撤消而失效。</w:t>
      </w:r>
    </w:p>
    <w:p w14:paraId="6A7C91CD">
      <w:pPr>
        <w:spacing w:line="360" w:lineRule="auto"/>
        <w:rPr>
          <w:rFonts w:hint="eastAsia" w:ascii="仿宋" w:hAnsi="仿宋" w:eastAsia="仿宋"/>
          <w:color w:val="000000" w:themeColor="text1"/>
          <w:sz w:val="32"/>
          <w:szCs w:val="32"/>
          <w14:textFill>
            <w14:solidFill>
              <w14:schemeClr w14:val="tx1"/>
            </w14:solidFill>
          </w14:textFill>
        </w:rPr>
      </w:pPr>
    </w:p>
    <w:p w14:paraId="47F25C4F">
      <w:pPr>
        <w:spacing w:line="640" w:lineRule="exact"/>
        <w:rPr>
          <w:rFonts w:hint="eastAsia" w:ascii="仿宋" w:hAnsi="仿宋" w:eastAsia="仿宋"/>
          <w:color w:val="000000" w:themeColor="text1"/>
          <w:sz w:val="32"/>
          <w:szCs w:val="32"/>
          <w:u w:val="singl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被授权人签名：</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授权人签名：</w:t>
      </w:r>
      <w:r>
        <w:rPr>
          <w:rFonts w:hint="eastAsia" w:ascii="仿宋" w:hAnsi="仿宋" w:eastAsia="仿宋"/>
          <w:color w:val="000000" w:themeColor="text1"/>
          <w:sz w:val="32"/>
          <w:szCs w:val="32"/>
          <w:u w:val="single"/>
          <w14:textFill>
            <w14:solidFill>
              <w14:schemeClr w14:val="tx1"/>
            </w14:solidFill>
          </w14:textFill>
        </w:rPr>
        <w:t xml:space="preserve">                </w:t>
      </w:r>
    </w:p>
    <w:p w14:paraId="37CC1FB0">
      <w:pPr>
        <w:spacing w:line="640" w:lineRule="exact"/>
        <w:rPr>
          <w:rFonts w:hint="eastAsia" w:ascii="仿宋" w:hAnsi="仿宋" w:eastAsia="仿宋"/>
          <w:color w:val="000000" w:themeColor="text1"/>
          <w:sz w:val="32"/>
          <w:szCs w:val="32"/>
          <w:u w:val="singl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职        务：</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职      务：</w:t>
      </w:r>
      <w:r>
        <w:rPr>
          <w:rFonts w:hint="eastAsia" w:ascii="仿宋" w:hAnsi="仿宋" w:eastAsia="仿宋"/>
          <w:color w:val="000000" w:themeColor="text1"/>
          <w:sz w:val="32"/>
          <w:szCs w:val="32"/>
          <w:u w:val="single"/>
          <w14:textFill>
            <w14:solidFill>
              <w14:schemeClr w14:val="tx1"/>
            </w14:solidFill>
          </w14:textFill>
        </w:rPr>
        <w:t xml:space="preserve">                </w:t>
      </w:r>
    </w:p>
    <w:p w14:paraId="2CE86660">
      <w:pPr>
        <w:spacing w:line="640" w:lineRule="exact"/>
        <w:ind w:left="72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投标人公章：</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 xml:space="preserve">                 </w:t>
      </w:r>
    </w:p>
    <w:p w14:paraId="6AAC36A2">
      <w:pPr>
        <w:spacing w:line="700" w:lineRule="exact"/>
        <w:rPr>
          <w:rFonts w:hint="eastAsia" w:ascii="仿宋" w:hAnsi="仿宋" w:eastAsia="仿宋"/>
          <w:sz w:val="28"/>
          <w:szCs w:val="24"/>
        </w:rPr>
      </w:pPr>
    </w:p>
    <w:p w14:paraId="6BB8C2CF">
      <w:pPr>
        <w:spacing w:line="700" w:lineRule="exact"/>
        <w:rPr>
          <w:rFonts w:hint="eastAsia" w:ascii="仿宋" w:hAnsi="仿宋" w:eastAsia="仿宋"/>
          <w:sz w:val="28"/>
          <w:szCs w:val="24"/>
        </w:rPr>
      </w:pPr>
    </w:p>
    <w:p w14:paraId="3688B7DC">
      <w:pPr>
        <w:spacing w:line="700" w:lineRule="exact"/>
        <w:rPr>
          <w:rFonts w:hint="eastAsia" w:ascii="仿宋" w:hAnsi="仿宋" w:eastAsia="仿宋"/>
          <w:sz w:val="28"/>
          <w:szCs w:val="24"/>
        </w:rPr>
      </w:pPr>
    </w:p>
    <w:p w14:paraId="126B3125">
      <w:pPr>
        <w:tabs>
          <w:tab w:val="left" w:pos="630"/>
          <w:tab w:val="left" w:pos="7560"/>
        </w:tabs>
        <w:spacing w:line="360" w:lineRule="auto"/>
        <w:rPr>
          <w:rFonts w:hint="eastAsia" w:ascii="仿宋" w:hAnsi="仿宋" w:eastAsia="仿宋"/>
          <w:sz w:val="28"/>
          <w:szCs w:val="28"/>
        </w:rPr>
      </w:pPr>
    </w:p>
    <w:p w14:paraId="068FE769">
      <w:pPr>
        <w:tabs>
          <w:tab w:val="left" w:pos="630"/>
          <w:tab w:val="left" w:pos="7560"/>
        </w:tabs>
        <w:spacing w:line="360" w:lineRule="auto"/>
        <w:rPr>
          <w:rFonts w:hint="eastAsia" w:ascii="仿宋" w:hAnsi="仿宋" w:eastAsia="仿宋"/>
          <w:sz w:val="28"/>
          <w:szCs w:val="28"/>
        </w:rPr>
      </w:pPr>
    </w:p>
    <w:p w14:paraId="4FEDA470">
      <w:pPr>
        <w:tabs>
          <w:tab w:val="left" w:pos="630"/>
          <w:tab w:val="left" w:pos="7560"/>
        </w:tabs>
        <w:spacing w:line="360" w:lineRule="auto"/>
        <w:rPr>
          <w:rFonts w:hint="eastAsia" w:ascii="仿宋" w:hAnsi="仿宋" w:eastAsia="仿宋"/>
          <w:sz w:val="28"/>
          <w:szCs w:val="28"/>
        </w:rPr>
      </w:pPr>
    </w:p>
    <w:p w14:paraId="42241533">
      <w:pPr>
        <w:tabs>
          <w:tab w:val="left" w:pos="630"/>
          <w:tab w:val="left" w:pos="7560"/>
        </w:tabs>
        <w:spacing w:line="360" w:lineRule="auto"/>
        <w:rPr>
          <w:rFonts w:hint="eastAsia" w:ascii="仿宋" w:hAnsi="仿宋" w:eastAsia="仿宋"/>
          <w:sz w:val="28"/>
          <w:szCs w:val="28"/>
        </w:rPr>
      </w:pPr>
    </w:p>
    <w:p w14:paraId="78539040">
      <w:pPr>
        <w:tabs>
          <w:tab w:val="left" w:pos="630"/>
          <w:tab w:val="left" w:pos="7560"/>
        </w:tabs>
        <w:spacing w:line="360" w:lineRule="auto"/>
        <w:rPr>
          <w:rFonts w:hint="eastAsia" w:ascii="仿宋" w:hAnsi="仿宋" w:eastAsia="仿宋"/>
          <w:sz w:val="28"/>
          <w:szCs w:val="28"/>
        </w:rPr>
      </w:pPr>
    </w:p>
    <w:p w14:paraId="398A02FB">
      <w:pPr>
        <w:tabs>
          <w:tab w:val="left" w:pos="630"/>
          <w:tab w:val="left" w:pos="7560"/>
        </w:tabs>
        <w:spacing w:line="360" w:lineRule="auto"/>
        <w:rPr>
          <w:rFonts w:hint="eastAsia" w:ascii="仿宋" w:hAnsi="仿宋" w:eastAsia="仿宋"/>
          <w:sz w:val="28"/>
          <w:szCs w:val="28"/>
        </w:rPr>
      </w:pPr>
    </w:p>
    <w:p w14:paraId="5C02515A">
      <w:pPr>
        <w:tabs>
          <w:tab w:val="left" w:pos="630"/>
          <w:tab w:val="left" w:pos="7560"/>
        </w:tabs>
        <w:spacing w:line="360" w:lineRule="auto"/>
        <w:rPr>
          <w:rFonts w:hint="eastAsia" w:ascii="仿宋" w:hAnsi="仿宋" w:eastAsia="仿宋"/>
          <w:sz w:val="28"/>
          <w:szCs w:val="28"/>
        </w:rPr>
      </w:pPr>
    </w:p>
    <w:p w14:paraId="3FB65993">
      <w:pPr>
        <w:tabs>
          <w:tab w:val="left" w:pos="630"/>
          <w:tab w:val="left" w:pos="7560"/>
        </w:tabs>
        <w:spacing w:line="360" w:lineRule="auto"/>
        <w:rPr>
          <w:rFonts w:hint="eastAsia" w:ascii="仿宋" w:hAnsi="仿宋" w:eastAsia="仿宋"/>
          <w:sz w:val="28"/>
          <w:szCs w:val="28"/>
        </w:rPr>
      </w:pPr>
    </w:p>
    <w:p w14:paraId="4E9CF17B">
      <w:pPr>
        <w:tabs>
          <w:tab w:val="left" w:pos="630"/>
          <w:tab w:val="left" w:pos="7560"/>
        </w:tabs>
        <w:spacing w:line="360" w:lineRule="auto"/>
        <w:rPr>
          <w:rFonts w:hint="eastAsia" w:ascii="仿宋" w:hAnsi="仿宋" w:eastAsia="仿宋"/>
          <w:sz w:val="28"/>
          <w:szCs w:val="28"/>
        </w:rPr>
      </w:pPr>
    </w:p>
    <w:p w14:paraId="4DEFCE52">
      <w:pPr>
        <w:tabs>
          <w:tab w:val="left" w:pos="630"/>
          <w:tab w:val="left" w:pos="7560"/>
        </w:tabs>
        <w:spacing w:line="360" w:lineRule="auto"/>
        <w:rPr>
          <w:rFonts w:hint="eastAsia" w:ascii="仿宋" w:hAnsi="仿宋" w:eastAsia="仿宋"/>
          <w:sz w:val="28"/>
          <w:szCs w:val="28"/>
        </w:rPr>
      </w:pPr>
      <w:r>
        <w:rPr>
          <w:rFonts w:hint="eastAsia" w:ascii="仿宋" w:hAnsi="仿宋" w:eastAsia="仿宋"/>
          <w:sz w:val="28"/>
          <w:szCs w:val="28"/>
        </w:rPr>
        <w:t>附件</w:t>
      </w:r>
      <w:r>
        <w:rPr>
          <w:rFonts w:ascii="仿宋" w:hAnsi="仿宋" w:eastAsia="仿宋"/>
          <w:sz w:val="28"/>
          <w:szCs w:val="28"/>
        </w:rPr>
        <w:t>4</w:t>
      </w:r>
      <w:r>
        <w:rPr>
          <w:rFonts w:hint="eastAsia" w:ascii="仿宋" w:hAnsi="仿宋" w:eastAsia="仿宋"/>
          <w:sz w:val="28"/>
          <w:szCs w:val="28"/>
        </w:rPr>
        <w:t xml:space="preserve">  投标人资格声明函</w:t>
      </w:r>
    </w:p>
    <w:p w14:paraId="35025365">
      <w:pPr>
        <w:tabs>
          <w:tab w:val="left" w:pos="630"/>
        </w:tabs>
        <w:spacing w:line="360" w:lineRule="auto"/>
        <w:jc w:val="center"/>
        <w:rPr>
          <w:rFonts w:hint="eastAsia" w:ascii="仿宋" w:hAnsi="仿宋" w:eastAsia="仿宋"/>
          <w:b/>
          <w:sz w:val="44"/>
          <w:szCs w:val="44"/>
        </w:rPr>
      </w:pPr>
    </w:p>
    <w:p w14:paraId="03CB02C6">
      <w:pPr>
        <w:tabs>
          <w:tab w:val="left" w:pos="630"/>
        </w:tabs>
        <w:spacing w:line="360" w:lineRule="auto"/>
        <w:jc w:val="center"/>
        <w:rPr>
          <w:rFonts w:hint="eastAsia" w:ascii="仿宋" w:hAnsi="仿宋" w:eastAsia="仿宋"/>
          <w:b/>
          <w:sz w:val="44"/>
          <w:szCs w:val="44"/>
        </w:rPr>
      </w:pPr>
      <w:r>
        <w:rPr>
          <w:rFonts w:ascii="仿宋" w:hAnsi="仿宋" w:eastAsia="仿宋"/>
          <w:b/>
          <w:sz w:val="44"/>
          <w:szCs w:val="44"/>
        </w:rPr>
        <w:t>投标人关于资格的声明函</w:t>
      </w:r>
    </w:p>
    <w:p w14:paraId="1E361762">
      <w:pPr>
        <w:tabs>
          <w:tab w:val="left" w:pos="630"/>
        </w:tabs>
        <w:spacing w:line="240" w:lineRule="exact"/>
        <w:rPr>
          <w:rFonts w:hint="eastAsia" w:ascii="仿宋" w:hAnsi="仿宋" w:eastAsia="仿宋"/>
          <w:sz w:val="28"/>
        </w:rPr>
      </w:pPr>
    </w:p>
    <w:p w14:paraId="1C2BDFF3">
      <w:pPr>
        <w:tabs>
          <w:tab w:val="left" w:pos="630"/>
        </w:tabs>
        <w:spacing w:line="360" w:lineRule="auto"/>
        <w:rPr>
          <w:rFonts w:hint="eastAsia" w:ascii="仿宋" w:hAnsi="仿宋" w:eastAsia="仿宋"/>
          <w:sz w:val="32"/>
          <w:szCs w:val="32"/>
          <w:u w:val="single"/>
        </w:rPr>
      </w:pPr>
      <w:r>
        <w:rPr>
          <w:rFonts w:ascii="仿宋" w:hAnsi="仿宋" w:eastAsia="仿宋"/>
          <w:sz w:val="32"/>
          <w:szCs w:val="32"/>
        </w:rPr>
        <w:t>项目名称：</w:t>
      </w:r>
      <w:r>
        <w:rPr>
          <w:rFonts w:hint="eastAsia" w:ascii="仿宋" w:hAnsi="仿宋" w:eastAsia="仿宋"/>
          <w:sz w:val="32"/>
          <w:szCs w:val="32"/>
          <w:u w:val="single"/>
        </w:rPr>
        <w:t xml:space="preserve"> </w:t>
      </w:r>
      <w:r>
        <w:rPr>
          <w:rFonts w:ascii="仿宋" w:hAnsi="仿宋" w:eastAsia="仿宋"/>
          <w:sz w:val="32"/>
          <w:szCs w:val="32"/>
          <w:u w:val="single"/>
        </w:rPr>
        <w:t>*********************</w:t>
      </w:r>
      <w:r>
        <w:rPr>
          <w:rFonts w:hint="eastAsia" w:ascii="仿宋" w:hAnsi="仿宋" w:eastAsia="仿宋"/>
          <w:sz w:val="32"/>
          <w:szCs w:val="32"/>
          <w:u w:val="single"/>
        </w:rPr>
        <w:t>项目</w:t>
      </w:r>
    </w:p>
    <w:p w14:paraId="5A3B1C7B">
      <w:pPr>
        <w:tabs>
          <w:tab w:val="left" w:pos="630"/>
        </w:tabs>
        <w:spacing w:line="360" w:lineRule="auto"/>
        <w:rPr>
          <w:rFonts w:hint="eastAsia" w:ascii="仿宋" w:hAnsi="仿宋" w:eastAsia="仿宋"/>
          <w:sz w:val="32"/>
          <w:szCs w:val="32"/>
          <w:u w:val="single"/>
        </w:rPr>
      </w:pPr>
      <w:r>
        <w:rPr>
          <w:rFonts w:ascii="仿宋" w:hAnsi="仿宋" w:eastAsia="仿宋"/>
          <w:sz w:val="32"/>
          <w:szCs w:val="32"/>
        </w:rPr>
        <w:t xml:space="preserve">日    期： </w:t>
      </w:r>
      <w:r>
        <w:rPr>
          <w:rFonts w:ascii="仿宋" w:hAnsi="仿宋" w:eastAsia="仿宋"/>
          <w:sz w:val="32"/>
          <w:szCs w:val="32"/>
          <w:u w:val="single"/>
        </w:rPr>
        <w:t xml:space="preserve">            </w:t>
      </w:r>
    </w:p>
    <w:p w14:paraId="28C08529">
      <w:pPr>
        <w:tabs>
          <w:tab w:val="left" w:pos="630"/>
        </w:tabs>
        <w:spacing w:line="360" w:lineRule="auto"/>
        <w:rPr>
          <w:rFonts w:hint="eastAsia" w:ascii="仿宋" w:hAnsi="仿宋" w:eastAsia="仿宋"/>
          <w:sz w:val="32"/>
          <w:szCs w:val="32"/>
        </w:rPr>
      </w:pPr>
    </w:p>
    <w:p w14:paraId="7CC12DA3">
      <w:pPr>
        <w:tabs>
          <w:tab w:val="left" w:pos="630"/>
        </w:tabs>
        <w:spacing w:line="360" w:lineRule="auto"/>
        <w:rPr>
          <w:rFonts w:hint="eastAsia" w:ascii="仿宋" w:hAnsi="仿宋" w:eastAsia="仿宋"/>
          <w:sz w:val="32"/>
          <w:szCs w:val="32"/>
        </w:rPr>
      </w:pPr>
      <w:r>
        <w:rPr>
          <w:rFonts w:ascii="仿宋" w:hAnsi="仿宋" w:eastAsia="仿宋"/>
          <w:sz w:val="32"/>
          <w:szCs w:val="32"/>
        </w:rPr>
        <w:t>致：</w:t>
      </w:r>
      <w:r>
        <w:rPr>
          <w:rFonts w:hint="eastAsia" w:ascii="仿宋" w:hAnsi="仿宋" w:eastAsia="仿宋"/>
          <w:sz w:val="32"/>
          <w:szCs w:val="32"/>
          <w:u w:val="single"/>
        </w:rPr>
        <w:t>万基控股集团有限公司招标办公室</w:t>
      </w:r>
      <w:r>
        <w:rPr>
          <w:rFonts w:ascii="仿宋" w:hAnsi="仿宋" w:eastAsia="仿宋"/>
          <w:sz w:val="32"/>
          <w:szCs w:val="32"/>
        </w:rPr>
        <w:t>：</w:t>
      </w:r>
    </w:p>
    <w:p w14:paraId="1A00CBD1">
      <w:pPr>
        <w:tabs>
          <w:tab w:val="left" w:pos="630"/>
        </w:tabs>
        <w:spacing w:line="360" w:lineRule="auto"/>
        <w:rPr>
          <w:rFonts w:hint="eastAsia" w:ascii="仿宋" w:hAnsi="仿宋" w:eastAsia="仿宋"/>
          <w:sz w:val="32"/>
          <w:szCs w:val="32"/>
        </w:rPr>
      </w:pPr>
      <w:r>
        <w:rPr>
          <w:rFonts w:ascii="仿宋" w:hAnsi="仿宋" w:eastAsia="仿宋"/>
          <w:sz w:val="32"/>
          <w:szCs w:val="32"/>
        </w:rPr>
        <w:tab/>
      </w:r>
      <w:r>
        <w:rPr>
          <w:rFonts w:ascii="仿宋" w:hAnsi="仿宋" w:eastAsia="仿宋"/>
          <w:sz w:val="32"/>
          <w:szCs w:val="32"/>
        </w:rPr>
        <w:t>我公司愿意针对上述项目进行投标。投标文件中所有关于投标人资格的文件、证明、陈述均是真实的、准确的。若有违背，我公司承担由此而产生的一切后果。</w:t>
      </w:r>
    </w:p>
    <w:p w14:paraId="2B97BF4F">
      <w:pPr>
        <w:tabs>
          <w:tab w:val="left" w:pos="630"/>
        </w:tabs>
        <w:spacing w:line="360" w:lineRule="auto"/>
        <w:rPr>
          <w:rFonts w:hint="eastAsia" w:ascii="仿宋" w:hAnsi="仿宋" w:eastAsia="仿宋"/>
          <w:sz w:val="32"/>
          <w:szCs w:val="32"/>
        </w:rPr>
      </w:pPr>
      <w:r>
        <w:rPr>
          <w:rFonts w:ascii="仿宋" w:hAnsi="仿宋" w:eastAsia="仿宋"/>
          <w:sz w:val="32"/>
          <w:szCs w:val="32"/>
        </w:rPr>
        <w:tab/>
      </w:r>
      <w:r>
        <w:rPr>
          <w:rFonts w:ascii="仿宋" w:hAnsi="仿宋" w:eastAsia="仿宋"/>
          <w:sz w:val="32"/>
          <w:szCs w:val="32"/>
        </w:rPr>
        <w:t>特此声明！</w:t>
      </w:r>
    </w:p>
    <w:p w14:paraId="16343BE7">
      <w:pPr>
        <w:tabs>
          <w:tab w:val="left" w:pos="630"/>
          <w:tab w:val="left" w:pos="7455"/>
        </w:tabs>
        <w:spacing w:line="360" w:lineRule="auto"/>
        <w:rPr>
          <w:rFonts w:hint="eastAsia" w:ascii="仿宋" w:hAnsi="仿宋" w:eastAsia="仿宋"/>
          <w:sz w:val="32"/>
          <w:szCs w:val="32"/>
        </w:rPr>
      </w:pPr>
      <w:r>
        <w:rPr>
          <w:rFonts w:ascii="仿宋" w:hAnsi="仿宋" w:eastAsia="仿宋"/>
          <w:sz w:val="32"/>
          <w:szCs w:val="32"/>
        </w:rPr>
        <w:t xml:space="preserve">                                   投标人代表签字：</w:t>
      </w:r>
    </w:p>
    <w:p w14:paraId="0537109E">
      <w:pPr>
        <w:rPr>
          <w:rFonts w:hint="eastAsia" w:ascii="仿宋" w:hAnsi="仿宋" w:eastAsia="仿宋"/>
          <w:sz w:val="32"/>
          <w:szCs w:val="32"/>
        </w:rPr>
      </w:pPr>
      <w:r>
        <w:rPr>
          <w:rFonts w:ascii="仿宋" w:hAnsi="仿宋" w:eastAsia="仿宋"/>
          <w:sz w:val="32"/>
          <w:szCs w:val="32"/>
        </w:rPr>
        <w:t xml:space="preserve">                                       投标人公章：</w:t>
      </w:r>
    </w:p>
    <w:p w14:paraId="2C852C15">
      <w:pPr>
        <w:spacing w:line="360" w:lineRule="auto"/>
      </w:pPr>
    </w:p>
    <w:p w14:paraId="38822300">
      <w:pPr>
        <w:spacing w:line="360" w:lineRule="auto"/>
      </w:pPr>
    </w:p>
    <w:p w14:paraId="2A959A30">
      <w:pPr>
        <w:spacing w:line="500" w:lineRule="exact"/>
        <w:rPr>
          <w:rFonts w:ascii="仿宋" w:hAnsi="仿宋" w:eastAsia="仿宋"/>
          <w:sz w:val="28"/>
          <w:szCs w:val="24"/>
        </w:rPr>
      </w:pPr>
    </w:p>
    <w:p w14:paraId="30C7F9E2">
      <w:pPr>
        <w:spacing w:line="500" w:lineRule="exact"/>
        <w:rPr>
          <w:rFonts w:ascii="仿宋" w:hAnsi="仿宋" w:eastAsia="仿宋"/>
          <w:sz w:val="28"/>
          <w:szCs w:val="24"/>
        </w:rPr>
      </w:pPr>
    </w:p>
    <w:p w14:paraId="1FCC3B01">
      <w:pPr>
        <w:spacing w:line="500" w:lineRule="exact"/>
        <w:rPr>
          <w:rFonts w:ascii="仿宋" w:hAnsi="仿宋" w:eastAsia="仿宋"/>
          <w:sz w:val="28"/>
          <w:szCs w:val="24"/>
        </w:rPr>
      </w:pPr>
    </w:p>
    <w:p w14:paraId="73F760E8">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仿宋" w:hAnsi="仿宋" w:eastAsia="仿宋" w:cs="Times New Roman"/>
          <w:b/>
          <w:bCs/>
          <w:color w:val="auto"/>
          <w:sz w:val="44"/>
          <w:szCs w:val="44"/>
          <w:lang w:val="en-US" w:eastAsia="zh-CN"/>
        </w:rPr>
      </w:pPr>
    </w:p>
    <w:p w14:paraId="54C3398B">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仿宋" w:hAnsi="仿宋" w:eastAsia="仿宋" w:cs="Times New Roman"/>
          <w:b/>
          <w:bCs/>
          <w:color w:val="auto"/>
          <w:sz w:val="44"/>
          <w:szCs w:val="44"/>
          <w:lang w:val="en-US" w:eastAsia="zh-CN"/>
        </w:rPr>
      </w:pPr>
    </w:p>
    <w:p w14:paraId="5D47C21D">
      <w:pPr>
        <w:keepNext w:val="0"/>
        <w:keepLines w:val="0"/>
        <w:pageBreakBefore w:val="0"/>
        <w:widowControl w:val="0"/>
        <w:kinsoku/>
        <w:wordWrap/>
        <w:overflowPunct/>
        <w:topLinePunct w:val="0"/>
        <w:autoSpaceDE/>
        <w:autoSpaceDN/>
        <w:bidi w:val="0"/>
        <w:adjustRightInd/>
        <w:snapToGrid/>
        <w:spacing w:line="500" w:lineRule="exact"/>
        <w:ind w:right="0" w:rightChars="0" w:firstLine="883" w:firstLineChars="200"/>
        <w:jc w:val="both"/>
        <w:textAlignment w:val="auto"/>
        <w:outlineLvl w:val="9"/>
        <w:rPr>
          <w:rFonts w:hint="eastAsia" w:ascii="仿宋" w:hAnsi="仿宋" w:eastAsia="仿宋" w:cs="Times New Roman"/>
          <w:b/>
          <w:bCs/>
          <w:color w:val="auto"/>
          <w:sz w:val="44"/>
          <w:szCs w:val="44"/>
          <w:lang w:val="en-US" w:eastAsia="zh-CN"/>
        </w:rPr>
      </w:pPr>
      <w:r>
        <w:rPr>
          <w:rFonts w:hint="eastAsia" w:ascii="仿宋" w:hAnsi="仿宋" w:eastAsia="仿宋" w:cs="Times New Roman"/>
          <w:b/>
          <w:bCs/>
          <w:color w:val="auto"/>
          <w:sz w:val="44"/>
          <w:szCs w:val="44"/>
          <w:lang w:val="en-US" w:eastAsia="zh-CN"/>
        </w:rPr>
        <w:t>洛阳万基宏远电力有限公司能耗在线监测系统项目投标报价单</w:t>
      </w:r>
    </w:p>
    <w:p w14:paraId="2F56044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 w:hAnsi="仿宋" w:eastAsia="仿宋" w:cs="仿宋"/>
          <w:b/>
          <w:bCs/>
          <w:i w:val="0"/>
          <w:color w:val="000000"/>
          <w:kern w:val="0"/>
          <w:sz w:val="28"/>
          <w:szCs w:val="28"/>
          <w:u w:val="none"/>
          <w:lang w:val="en-US" w:eastAsia="zh-CN" w:bidi="ar"/>
        </w:rPr>
      </w:pPr>
    </w:p>
    <w:p w14:paraId="53C6CB3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 w:hAnsi="仿宋" w:eastAsia="仿宋" w:cs="仿宋"/>
          <w:b/>
          <w:bCs/>
          <w:i w:val="0"/>
          <w:color w:val="000000"/>
          <w:kern w:val="0"/>
          <w:sz w:val="28"/>
          <w:szCs w:val="28"/>
          <w:u w:val="none"/>
          <w:lang w:val="en-US" w:eastAsia="zh-CN" w:bidi="ar"/>
        </w:rPr>
      </w:pPr>
    </w:p>
    <w:p w14:paraId="3EE50EC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 w:hAnsi="仿宋" w:eastAsia="仿宋" w:cs="仿宋"/>
          <w:b/>
          <w:bCs/>
          <w:i w:val="0"/>
          <w:color w:val="000000"/>
          <w:kern w:val="0"/>
          <w:sz w:val="24"/>
          <w:szCs w:val="24"/>
          <w:u w:val="single"/>
          <w:lang w:val="en-US" w:eastAsia="zh-CN" w:bidi="ar"/>
        </w:rPr>
      </w:pPr>
      <w:r>
        <w:rPr>
          <w:rFonts w:hint="eastAsia" w:ascii="仿宋" w:hAnsi="仿宋" w:eastAsia="仿宋" w:cs="仿宋"/>
          <w:b/>
          <w:bCs/>
          <w:i w:val="0"/>
          <w:color w:val="000000"/>
          <w:kern w:val="0"/>
          <w:sz w:val="28"/>
          <w:szCs w:val="28"/>
          <w:u w:val="none"/>
          <w:lang w:val="en-US" w:eastAsia="zh-CN" w:bidi="ar"/>
        </w:rPr>
        <w:t>投标总报价</w:t>
      </w:r>
      <w:r>
        <w:rPr>
          <w:rFonts w:hint="eastAsia" w:ascii="仿宋" w:hAnsi="仿宋" w:eastAsia="仿宋" w:cs="仿宋"/>
          <w:b/>
          <w:bCs/>
          <w:i w:val="0"/>
          <w:color w:val="000000"/>
          <w:kern w:val="0"/>
          <w:sz w:val="28"/>
          <w:szCs w:val="28"/>
          <w:u w:val="single"/>
          <w:lang w:val="en-US" w:eastAsia="zh-CN" w:bidi="ar"/>
        </w:rPr>
        <w:t xml:space="preserve">：          </w:t>
      </w:r>
      <w:r>
        <w:rPr>
          <w:rFonts w:hint="eastAsia" w:ascii="仿宋" w:hAnsi="仿宋" w:eastAsia="仿宋" w:cs="仿宋"/>
          <w:b/>
          <w:bCs/>
          <w:i w:val="0"/>
          <w:color w:val="000000"/>
          <w:kern w:val="0"/>
          <w:sz w:val="28"/>
          <w:szCs w:val="28"/>
          <w:u w:val="none"/>
          <w:lang w:val="en-US" w:eastAsia="zh-CN" w:bidi="ar"/>
        </w:rPr>
        <w:t>万元</w:t>
      </w:r>
    </w:p>
    <w:tbl>
      <w:tblPr>
        <w:tblStyle w:val="50"/>
        <w:tblpPr w:leftFromText="180" w:rightFromText="180" w:vertAnchor="text" w:horzAnchor="page" w:tblpX="1249" w:tblpY="285"/>
        <w:tblOverlap w:val="never"/>
        <w:tblW w:w="9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2807"/>
        <w:gridCol w:w="1829"/>
        <w:gridCol w:w="438"/>
        <w:gridCol w:w="382"/>
        <w:gridCol w:w="1253"/>
        <w:gridCol w:w="1253"/>
        <w:gridCol w:w="853"/>
      </w:tblGrid>
      <w:tr w14:paraId="0C243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exact"/>
        </w:trPr>
        <w:tc>
          <w:tcPr>
            <w:tcW w:w="768" w:type="dxa"/>
            <w:tcBorders>
              <w:bottom w:val="single" w:color="auto" w:sz="4" w:space="0"/>
            </w:tcBorders>
            <w:noWrap w:val="0"/>
            <w:vAlign w:val="center"/>
          </w:tcPr>
          <w:p w14:paraId="169440EF">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序号</w:t>
            </w:r>
          </w:p>
        </w:tc>
        <w:tc>
          <w:tcPr>
            <w:tcW w:w="2807" w:type="dxa"/>
            <w:tcBorders>
              <w:bottom w:val="single" w:color="auto" w:sz="4" w:space="0"/>
            </w:tcBorders>
            <w:noWrap w:val="0"/>
            <w:vAlign w:val="center"/>
          </w:tcPr>
          <w:p w14:paraId="2762170A">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b/>
                <w:kern w:val="20"/>
                <w:sz w:val="24"/>
                <w:szCs w:val="24"/>
                <w:u w:val="single"/>
                <w:vertAlign w:val="baseline"/>
                <w:lang w:val="en-US" w:eastAsia="zh-CN"/>
              </w:rPr>
            </w:pPr>
            <w:r>
              <w:rPr>
                <w:rFonts w:hint="eastAsia" w:ascii="仿宋" w:hAnsi="仿宋" w:eastAsia="仿宋" w:cs="仿宋"/>
                <w:i w:val="0"/>
                <w:color w:val="000000"/>
                <w:kern w:val="0"/>
                <w:sz w:val="24"/>
                <w:szCs w:val="24"/>
                <w:u w:val="none"/>
                <w:lang w:val="en-US" w:eastAsia="zh-CN" w:bidi="ar"/>
              </w:rPr>
              <w:t>名称</w:t>
            </w:r>
          </w:p>
        </w:tc>
        <w:tc>
          <w:tcPr>
            <w:tcW w:w="1829" w:type="dxa"/>
            <w:tcBorders>
              <w:bottom w:val="single" w:color="auto" w:sz="4" w:space="0"/>
            </w:tcBorders>
            <w:noWrap w:val="0"/>
            <w:vAlign w:val="center"/>
          </w:tcPr>
          <w:p w14:paraId="29BA64A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b/>
                <w:kern w:val="20"/>
                <w:sz w:val="24"/>
                <w:szCs w:val="24"/>
                <w:u w:val="single"/>
                <w:vertAlign w:val="baseline"/>
                <w:lang w:val="en-US" w:eastAsia="zh-CN"/>
              </w:rPr>
            </w:pPr>
            <w:r>
              <w:rPr>
                <w:rFonts w:hint="eastAsia" w:ascii="仿宋" w:hAnsi="仿宋" w:eastAsia="仿宋" w:cs="仿宋"/>
                <w:i w:val="0"/>
                <w:color w:val="000000"/>
                <w:kern w:val="0"/>
                <w:sz w:val="24"/>
                <w:szCs w:val="24"/>
                <w:u w:val="none"/>
                <w:lang w:val="en-US" w:eastAsia="zh-CN" w:bidi="ar"/>
              </w:rPr>
              <w:t>规格型号</w:t>
            </w:r>
          </w:p>
        </w:tc>
        <w:tc>
          <w:tcPr>
            <w:tcW w:w="438" w:type="dxa"/>
            <w:tcBorders>
              <w:bottom w:val="single" w:color="auto" w:sz="4" w:space="0"/>
            </w:tcBorders>
            <w:noWrap w:val="0"/>
            <w:vAlign w:val="center"/>
          </w:tcPr>
          <w:p w14:paraId="03D8D7B8">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单位</w:t>
            </w:r>
          </w:p>
        </w:tc>
        <w:tc>
          <w:tcPr>
            <w:tcW w:w="382" w:type="dxa"/>
            <w:tcBorders>
              <w:bottom w:val="single" w:color="auto" w:sz="4" w:space="0"/>
            </w:tcBorders>
            <w:noWrap w:val="0"/>
            <w:vAlign w:val="center"/>
          </w:tcPr>
          <w:p w14:paraId="29ACFAB3">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数量</w:t>
            </w:r>
          </w:p>
        </w:tc>
        <w:tc>
          <w:tcPr>
            <w:tcW w:w="1253" w:type="dxa"/>
            <w:noWrap w:val="0"/>
            <w:vAlign w:val="center"/>
          </w:tcPr>
          <w:p w14:paraId="55809727">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单价（元）</w:t>
            </w:r>
          </w:p>
        </w:tc>
        <w:tc>
          <w:tcPr>
            <w:tcW w:w="1253" w:type="dxa"/>
            <w:noWrap w:val="0"/>
            <w:vAlign w:val="center"/>
          </w:tcPr>
          <w:p w14:paraId="43729E7A">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金额（元）</w:t>
            </w:r>
          </w:p>
        </w:tc>
        <w:tc>
          <w:tcPr>
            <w:tcW w:w="853" w:type="dxa"/>
            <w:noWrap w:val="0"/>
            <w:vAlign w:val="center"/>
          </w:tcPr>
          <w:p w14:paraId="70FFBDF5">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备注</w:t>
            </w:r>
          </w:p>
        </w:tc>
      </w:tr>
      <w:tr w14:paraId="28250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exact"/>
        </w:trPr>
        <w:tc>
          <w:tcPr>
            <w:tcW w:w="768" w:type="dxa"/>
            <w:noWrap w:val="0"/>
            <w:vAlign w:val="center"/>
          </w:tcPr>
          <w:p w14:paraId="38B67679">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2807" w:type="dxa"/>
            <w:noWrap w:val="0"/>
            <w:vAlign w:val="center"/>
          </w:tcPr>
          <w:p w14:paraId="46FC1862">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能耗在线监测系统</w:t>
            </w:r>
          </w:p>
        </w:tc>
        <w:tc>
          <w:tcPr>
            <w:tcW w:w="1829" w:type="dxa"/>
            <w:noWrap w:val="0"/>
            <w:vAlign w:val="center"/>
          </w:tcPr>
          <w:p w14:paraId="2C981703">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详见技术要求</w:t>
            </w:r>
          </w:p>
        </w:tc>
        <w:tc>
          <w:tcPr>
            <w:tcW w:w="438" w:type="dxa"/>
            <w:noWrap w:val="0"/>
            <w:vAlign w:val="center"/>
          </w:tcPr>
          <w:p w14:paraId="7DA1BE4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套</w:t>
            </w:r>
          </w:p>
        </w:tc>
        <w:tc>
          <w:tcPr>
            <w:tcW w:w="382" w:type="dxa"/>
            <w:noWrap w:val="0"/>
            <w:vAlign w:val="center"/>
          </w:tcPr>
          <w:p w14:paraId="0E1B27AF">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1253" w:type="dxa"/>
            <w:noWrap w:val="0"/>
            <w:vAlign w:val="center"/>
          </w:tcPr>
          <w:p w14:paraId="28D53766">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c>
          <w:tcPr>
            <w:tcW w:w="1253" w:type="dxa"/>
            <w:noWrap w:val="0"/>
            <w:vAlign w:val="center"/>
          </w:tcPr>
          <w:p w14:paraId="657C50E0">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c>
          <w:tcPr>
            <w:tcW w:w="853" w:type="dxa"/>
            <w:noWrap w:val="0"/>
            <w:vAlign w:val="center"/>
          </w:tcPr>
          <w:p w14:paraId="047C6F9B">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r>
      <w:tr w14:paraId="1FAF4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trPr>
        <w:tc>
          <w:tcPr>
            <w:tcW w:w="3575" w:type="dxa"/>
            <w:gridSpan w:val="2"/>
            <w:noWrap w:val="0"/>
            <w:vAlign w:val="center"/>
          </w:tcPr>
          <w:p w14:paraId="62AEF1C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总价</w:t>
            </w:r>
          </w:p>
        </w:tc>
        <w:tc>
          <w:tcPr>
            <w:tcW w:w="6008" w:type="dxa"/>
            <w:gridSpan w:val="6"/>
            <w:noWrap w:val="0"/>
            <w:vAlign w:val="center"/>
          </w:tcPr>
          <w:p w14:paraId="32775431">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大写：                              </w:t>
            </w:r>
            <w:r>
              <w:rPr>
                <w:rFonts w:hint="default" w:ascii="Arial" w:hAnsi="Arial" w:eastAsia="仿宋" w:cs="Arial"/>
                <w:i w:val="0"/>
                <w:color w:val="000000"/>
                <w:kern w:val="0"/>
                <w:sz w:val="24"/>
                <w:szCs w:val="24"/>
                <w:u w:val="none"/>
                <w:lang w:val="en-US" w:eastAsia="zh-CN" w:bidi="ar"/>
              </w:rPr>
              <w:t>¥</w:t>
            </w:r>
            <w:r>
              <w:rPr>
                <w:rFonts w:hint="eastAsia" w:ascii="仿宋" w:hAnsi="仿宋" w:eastAsia="仿宋" w:cs="仿宋"/>
                <w:i w:val="0"/>
                <w:color w:val="000000"/>
                <w:kern w:val="0"/>
                <w:sz w:val="24"/>
                <w:szCs w:val="24"/>
                <w:u w:val="none"/>
                <w:lang w:val="en-US" w:eastAsia="zh-CN" w:bidi="ar"/>
              </w:rPr>
              <w:t>：</w:t>
            </w:r>
          </w:p>
        </w:tc>
      </w:tr>
    </w:tbl>
    <w:p w14:paraId="04BD6536">
      <w:pPr>
        <w:keepNext w:val="0"/>
        <w:keepLines w:val="0"/>
        <w:pageBreakBefore w:val="0"/>
        <w:widowControl w:val="0"/>
        <w:kinsoku/>
        <w:wordWrap/>
        <w:overflowPunct/>
        <w:topLinePunct w:val="0"/>
        <w:autoSpaceDE/>
        <w:autoSpaceDN/>
        <w:bidi w:val="0"/>
        <w:adjustRightInd/>
        <w:snapToGrid/>
        <w:spacing w:line="500" w:lineRule="exact"/>
        <w:ind w:right="0" w:rightChars="0"/>
        <w:jc w:val="left"/>
        <w:textAlignment w:val="auto"/>
        <w:outlineLvl w:val="9"/>
        <w:rPr>
          <w:rFonts w:hint="eastAsia" w:ascii="仿宋" w:hAnsi="仿宋" w:eastAsia="仿宋" w:cs="Times New Roman"/>
          <w:b w:val="0"/>
          <w:bCs w:val="0"/>
          <w:color w:val="auto"/>
          <w:sz w:val="30"/>
          <w:szCs w:val="30"/>
          <w:lang w:val="en-US" w:eastAsia="zh-CN"/>
        </w:rPr>
      </w:pPr>
      <w:r>
        <w:rPr>
          <w:rFonts w:hint="eastAsia" w:ascii="仿宋" w:hAnsi="仿宋" w:eastAsia="仿宋"/>
          <w:b w:val="0"/>
          <w:bCs w:val="0"/>
          <w:color w:val="auto"/>
          <w:sz w:val="30"/>
          <w:szCs w:val="30"/>
          <w:lang w:val="en-US" w:eastAsia="zh-CN"/>
        </w:rPr>
        <w:t>1</w:t>
      </w:r>
      <w:r>
        <w:rPr>
          <w:rFonts w:hint="eastAsia" w:ascii="仿宋" w:hAnsi="仿宋" w:eastAsia="仿宋" w:cs="Times New Roman"/>
          <w:b w:val="0"/>
          <w:bCs w:val="0"/>
          <w:color w:val="auto"/>
          <w:sz w:val="30"/>
          <w:szCs w:val="30"/>
          <w:lang w:val="en-US" w:eastAsia="zh-CN"/>
        </w:rPr>
        <w:t>、</w:t>
      </w:r>
      <w:r>
        <w:rPr>
          <w:rFonts w:hint="eastAsia" w:ascii="仿宋" w:hAnsi="仿宋" w:eastAsia="仿宋" w:cs="Times New Roman"/>
          <w:b w:val="0"/>
          <w:bCs w:val="0"/>
          <w:color w:val="auto"/>
          <w:sz w:val="30"/>
          <w:szCs w:val="30"/>
          <w:lang w:eastAsia="zh-CN"/>
        </w:rPr>
        <w:t>交货期：合同签订生效后</w:t>
      </w:r>
      <w:r>
        <w:rPr>
          <w:rFonts w:hint="eastAsia" w:ascii="仿宋" w:hAnsi="仿宋" w:eastAsia="仿宋" w:cs="Times New Roman"/>
          <w:b w:val="0"/>
          <w:bCs w:val="0"/>
          <w:color w:val="auto"/>
          <w:sz w:val="30"/>
          <w:szCs w:val="30"/>
          <w:u w:val="single"/>
          <w:lang w:val="en-US" w:eastAsia="zh-CN"/>
        </w:rPr>
        <w:t xml:space="preserve">     </w:t>
      </w:r>
      <w:r>
        <w:rPr>
          <w:rFonts w:hint="eastAsia" w:ascii="仿宋" w:hAnsi="仿宋" w:eastAsia="仿宋" w:cs="Times New Roman"/>
          <w:b w:val="0"/>
          <w:bCs w:val="0"/>
          <w:color w:val="auto"/>
          <w:sz w:val="30"/>
          <w:szCs w:val="30"/>
          <w:lang w:eastAsia="zh-CN"/>
        </w:rPr>
        <w:t>天交货完毕并完成安装调试（</w:t>
      </w:r>
      <w:r>
        <w:rPr>
          <w:rFonts w:hint="eastAsia" w:ascii="仿宋" w:hAnsi="仿宋" w:eastAsia="仿宋" w:cs="Times New Roman"/>
          <w:b w:val="0"/>
          <w:bCs w:val="0"/>
          <w:color w:val="auto"/>
          <w:sz w:val="30"/>
          <w:szCs w:val="30"/>
          <w:lang w:val="en-US" w:eastAsia="zh-CN"/>
        </w:rPr>
        <w:t>不超过45天</w:t>
      </w:r>
      <w:r>
        <w:rPr>
          <w:rFonts w:hint="eastAsia" w:ascii="仿宋" w:hAnsi="仿宋" w:eastAsia="仿宋" w:cs="Times New Roman"/>
          <w:b w:val="0"/>
          <w:bCs w:val="0"/>
          <w:color w:val="auto"/>
          <w:sz w:val="30"/>
          <w:szCs w:val="30"/>
          <w:lang w:eastAsia="zh-CN"/>
        </w:rPr>
        <w:t>）</w:t>
      </w:r>
      <w:r>
        <w:rPr>
          <w:rFonts w:hint="eastAsia" w:ascii="仿宋" w:hAnsi="仿宋" w:eastAsia="仿宋" w:cs="Times New Roman"/>
          <w:b w:val="0"/>
          <w:bCs w:val="0"/>
          <w:color w:val="auto"/>
          <w:sz w:val="30"/>
          <w:szCs w:val="30"/>
          <w:lang w:val="en-US" w:eastAsia="zh-CN"/>
        </w:rPr>
        <w:t>。</w:t>
      </w:r>
    </w:p>
    <w:p w14:paraId="1212B792">
      <w:pPr>
        <w:keepNext w:val="0"/>
        <w:keepLines w:val="0"/>
        <w:pageBreakBefore w:val="0"/>
        <w:widowControl w:val="0"/>
        <w:kinsoku/>
        <w:wordWrap/>
        <w:overflowPunct/>
        <w:topLinePunct w:val="0"/>
        <w:autoSpaceDE/>
        <w:autoSpaceDN/>
        <w:bidi w:val="0"/>
        <w:adjustRightInd/>
        <w:snapToGrid/>
        <w:spacing w:line="500" w:lineRule="exact"/>
        <w:ind w:right="0" w:rightChars="0"/>
        <w:jc w:val="left"/>
        <w:textAlignment w:val="auto"/>
        <w:outlineLvl w:val="9"/>
        <w:rPr>
          <w:rFonts w:hint="eastAsia" w:ascii="仿宋" w:hAnsi="仿宋" w:eastAsia="仿宋" w:cs="Times New Roman"/>
          <w:b w:val="0"/>
          <w:bCs w:val="0"/>
          <w:color w:val="auto"/>
          <w:sz w:val="30"/>
          <w:szCs w:val="30"/>
          <w:lang w:eastAsia="zh-CN"/>
        </w:rPr>
      </w:pPr>
      <w:r>
        <w:rPr>
          <w:rFonts w:hint="eastAsia" w:ascii="仿宋" w:hAnsi="仿宋" w:eastAsia="仿宋" w:cs="Times New Roman"/>
          <w:b w:val="0"/>
          <w:bCs w:val="0"/>
          <w:color w:val="auto"/>
          <w:sz w:val="30"/>
          <w:szCs w:val="30"/>
          <w:lang w:eastAsia="zh-CN"/>
        </w:rPr>
        <w:t>2、报价要求为总包价（交钥匙工程），一票制，税率为</w:t>
      </w:r>
      <w:r>
        <w:rPr>
          <w:rFonts w:hint="eastAsia" w:ascii="仿宋" w:hAnsi="仿宋" w:eastAsia="仿宋" w:cs="Times New Roman"/>
          <w:b w:val="0"/>
          <w:bCs w:val="0"/>
          <w:color w:val="auto"/>
          <w:sz w:val="30"/>
          <w:szCs w:val="30"/>
          <w:lang w:val="en-US" w:eastAsia="zh-CN"/>
        </w:rPr>
        <w:t>13%的增值税,</w:t>
      </w:r>
      <w:r>
        <w:rPr>
          <w:rFonts w:hint="eastAsia" w:ascii="仿宋" w:hAnsi="仿宋" w:eastAsia="仿宋" w:cs="Times New Roman"/>
          <w:b w:val="0"/>
          <w:bCs w:val="0"/>
          <w:color w:val="auto"/>
          <w:sz w:val="30"/>
          <w:szCs w:val="30"/>
          <w:lang w:eastAsia="zh-CN"/>
        </w:rPr>
        <w:t>报</w:t>
      </w:r>
      <w:r>
        <w:rPr>
          <w:rFonts w:hint="eastAsia" w:ascii="仿宋" w:hAnsi="仿宋" w:eastAsia="仿宋" w:cs="Times New Roman"/>
          <w:b w:val="0"/>
          <w:bCs w:val="0"/>
          <w:color w:val="auto"/>
          <w:sz w:val="30"/>
          <w:szCs w:val="30"/>
          <w:lang w:val="en-US" w:eastAsia="zh-CN"/>
        </w:rPr>
        <w:t>价应含项目所包含的所有费用，即</w:t>
      </w:r>
      <w:r>
        <w:rPr>
          <w:rFonts w:hint="eastAsia" w:ascii="仿宋" w:hAnsi="仿宋" w:eastAsia="仿宋" w:cs="Times New Roman"/>
          <w:b w:val="0"/>
          <w:bCs w:val="0"/>
          <w:color w:val="auto"/>
          <w:sz w:val="30"/>
          <w:szCs w:val="30"/>
          <w:lang w:eastAsia="zh-CN"/>
        </w:rPr>
        <w:t>设备费</w:t>
      </w:r>
      <w:r>
        <w:rPr>
          <w:rFonts w:hint="eastAsia" w:ascii="仿宋" w:hAnsi="仿宋" w:eastAsia="仿宋" w:cs="Times New Roman"/>
          <w:b w:val="0"/>
          <w:bCs w:val="0"/>
          <w:color w:val="auto"/>
          <w:sz w:val="30"/>
          <w:szCs w:val="30"/>
          <w:lang w:val="en-US" w:eastAsia="zh-CN"/>
        </w:rPr>
        <w:t>(含安装辅材)</w:t>
      </w:r>
      <w:r>
        <w:rPr>
          <w:rFonts w:hint="eastAsia" w:ascii="仿宋" w:hAnsi="仿宋" w:eastAsia="仿宋" w:cs="Times New Roman"/>
          <w:b w:val="0"/>
          <w:bCs w:val="0"/>
          <w:color w:val="auto"/>
          <w:sz w:val="30"/>
          <w:szCs w:val="30"/>
          <w:lang w:eastAsia="zh-CN"/>
        </w:rPr>
        <w:t>、设备运杂费</w:t>
      </w:r>
      <w:r>
        <w:rPr>
          <w:rFonts w:hint="eastAsia" w:ascii="仿宋" w:hAnsi="仿宋" w:eastAsia="仿宋" w:cs="Times New Roman"/>
          <w:b w:val="0"/>
          <w:bCs w:val="0"/>
          <w:color w:val="auto"/>
          <w:sz w:val="30"/>
          <w:szCs w:val="30"/>
          <w:lang w:val="en-US" w:eastAsia="zh-CN"/>
        </w:rPr>
        <w:t>(含装车费、卸车费、到货后的保管费)</w:t>
      </w:r>
      <w:r>
        <w:rPr>
          <w:rFonts w:hint="eastAsia" w:ascii="仿宋" w:hAnsi="仿宋" w:eastAsia="仿宋" w:cs="Times New Roman"/>
          <w:b w:val="0"/>
          <w:bCs w:val="0"/>
          <w:color w:val="auto"/>
          <w:sz w:val="30"/>
          <w:szCs w:val="30"/>
          <w:lang w:eastAsia="zh-CN"/>
        </w:rPr>
        <w:t xml:space="preserve">、安装费、调试费、售后技术服务等一切费用。    </w:t>
      </w:r>
    </w:p>
    <w:p w14:paraId="0BAE3F4B">
      <w:pPr>
        <w:keepNext w:val="0"/>
        <w:keepLines w:val="0"/>
        <w:pageBreakBefore w:val="0"/>
        <w:widowControl w:val="0"/>
        <w:kinsoku/>
        <w:wordWrap/>
        <w:overflowPunct/>
        <w:topLinePunct w:val="0"/>
        <w:autoSpaceDE/>
        <w:autoSpaceDN/>
        <w:bidi w:val="0"/>
        <w:adjustRightInd/>
        <w:snapToGrid/>
        <w:spacing w:line="500" w:lineRule="exact"/>
        <w:ind w:right="0" w:rightChars="0"/>
        <w:jc w:val="left"/>
        <w:textAlignment w:val="auto"/>
        <w:outlineLvl w:val="9"/>
        <w:rPr>
          <w:rFonts w:hint="eastAsia" w:ascii="仿宋" w:hAnsi="仿宋" w:eastAsia="仿宋" w:cs="Times New Roman"/>
          <w:b w:val="0"/>
          <w:bCs w:val="0"/>
          <w:color w:val="auto"/>
          <w:sz w:val="30"/>
          <w:szCs w:val="30"/>
          <w:lang w:eastAsia="zh-CN"/>
        </w:rPr>
      </w:pPr>
      <w:r>
        <w:rPr>
          <w:rFonts w:hint="eastAsia" w:ascii="仿宋" w:hAnsi="仿宋" w:eastAsia="仿宋" w:cs="Times New Roman"/>
          <w:b w:val="0"/>
          <w:bCs w:val="0"/>
          <w:color w:val="auto"/>
          <w:sz w:val="30"/>
          <w:szCs w:val="30"/>
          <w:lang w:val="en-US" w:eastAsia="zh-CN"/>
        </w:rPr>
        <w:t>3、</w:t>
      </w:r>
      <w:r>
        <w:rPr>
          <w:rFonts w:hint="eastAsia" w:ascii="仿宋" w:hAnsi="仿宋" w:eastAsia="仿宋" w:cs="Times New Roman"/>
          <w:b w:val="0"/>
          <w:bCs w:val="0"/>
          <w:color w:val="auto"/>
          <w:sz w:val="30"/>
          <w:szCs w:val="30"/>
          <w:lang w:eastAsia="zh-CN"/>
        </w:rPr>
        <w:t>在执行合同过程中如发现有任何漏项和缺陷，在投标方的报价栏目中或合同中并未列入而且确实是本次项目所必须的，是国家强制性要求必须的，均应由乙方负责将所缺的货物补上，所发生的费用由乙方负担。</w:t>
      </w:r>
    </w:p>
    <w:p w14:paraId="77B06C6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b w:val="0"/>
          <w:bCs w:val="0"/>
          <w:color w:val="auto"/>
          <w:sz w:val="30"/>
          <w:szCs w:val="30"/>
          <w:lang w:eastAsia="zh-CN"/>
        </w:rPr>
      </w:pPr>
      <w:r>
        <w:rPr>
          <w:rFonts w:hint="eastAsia" w:ascii="仿宋" w:hAnsi="仿宋" w:eastAsia="仿宋" w:cs="Times New Roman"/>
          <w:b w:val="0"/>
          <w:bCs w:val="0"/>
          <w:color w:val="auto"/>
          <w:sz w:val="30"/>
          <w:szCs w:val="30"/>
          <w:lang w:val="en-US" w:eastAsia="zh-CN"/>
        </w:rPr>
        <w:t>4</w:t>
      </w:r>
      <w:r>
        <w:rPr>
          <w:rFonts w:hint="eastAsia" w:ascii="仿宋" w:hAnsi="仿宋" w:eastAsia="仿宋" w:cs="Times New Roman"/>
          <w:b w:val="0"/>
          <w:bCs w:val="0"/>
          <w:color w:val="auto"/>
          <w:sz w:val="30"/>
          <w:szCs w:val="30"/>
          <w:lang w:eastAsia="zh-CN"/>
        </w:rPr>
        <w:t>、付款方式</w:t>
      </w:r>
      <w:r>
        <w:rPr>
          <w:rFonts w:hint="eastAsia" w:ascii="仿宋" w:hAnsi="仿宋" w:eastAsia="仿宋" w:cs="Times New Roman"/>
          <w:b w:val="0"/>
          <w:bCs w:val="0"/>
          <w:color w:val="auto"/>
          <w:sz w:val="30"/>
          <w:szCs w:val="30"/>
          <w:lang w:val="en-US" w:eastAsia="zh-CN"/>
        </w:rPr>
        <w:t>(银行承兑)</w:t>
      </w:r>
      <w:r>
        <w:rPr>
          <w:rFonts w:hint="eastAsia" w:ascii="仿宋" w:hAnsi="仿宋" w:eastAsia="仿宋" w:cs="Times New Roman"/>
          <w:b w:val="0"/>
          <w:bCs w:val="0"/>
          <w:color w:val="auto"/>
          <w:sz w:val="30"/>
          <w:szCs w:val="30"/>
          <w:lang w:eastAsia="zh-CN"/>
        </w:rPr>
        <w:t>：</w:t>
      </w:r>
      <w:r>
        <w:rPr>
          <w:rFonts w:hint="eastAsia" w:ascii="仿宋" w:hAnsi="仿宋" w:eastAsia="仿宋" w:cs="Times New Roman"/>
          <w:b w:val="0"/>
          <w:bCs w:val="0"/>
          <w:color w:val="auto"/>
          <w:sz w:val="30"/>
          <w:szCs w:val="30"/>
          <w:lang w:val="en-US" w:eastAsia="zh-CN"/>
        </w:rPr>
        <w:t>预付40%，建设完成接入省平台支付50%，一年维保到期后支付10%。质保期满没有任何质量问题时付清。</w:t>
      </w:r>
      <w:r>
        <w:rPr>
          <w:rFonts w:hint="eastAsia" w:ascii="仿宋" w:hAnsi="仿宋" w:eastAsia="仿宋" w:cs="Times New Roman"/>
          <w:b w:val="0"/>
          <w:bCs w:val="0"/>
          <w:color w:val="auto"/>
          <w:sz w:val="30"/>
          <w:szCs w:val="30"/>
          <w:lang w:eastAsia="zh-CN"/>
        </w:rPr>
        <w:t>质保期自调试验收合格之日起12个月，质保期内出现任何非</w:t>
      </w:r>
      <w:r>
        <w:rPr>
          <w:rFonts w:hint="eastAsia" w:ascii="仿宋" w:hAnsi="仿宋" w:eastAsia="仿宋" w:cs="Times New Roman"/>
          <w:b w:val="0"/>
          <w:bCs w:val="0"/>
          <w:color w:val="auto"/>
          <w:sz w:val="30"/>
          <w:szCs w:val="30"/>
          <w:lang w:val="en-US" w:eastAsia="zh-CN"/>
        </w:rPr>
        <w:t>业主</w:t>
      </w:r>
      <w:r>
        <w:rPr>
          <w:rFonts w:hint="eastAsia" w:ascii="仿宋" w:hAnsi="仿宋" w:eastAsia="仿宋" w:cs="Times New Roman"/>
          <w:b w:val="0"/>
          <w:bCs w:val="0"/>
          <w:color w:val="auto"/>
          <w:sz w:val="30"/>
          <w:szCs w:val="30"/>
          <w:lang w:eastAsia="zh-CN"/>
        </w:rPr>
        <w:t>方原因造成的质量问题，均由</w:t>
      </w:r>
      <w:r>
        <w:rPr>
          <w:rFonts w:hint="eastAsia" w:ascii="仿宋" w:hAnsi="仿宋" w:eastAsia="仿宋" w:cs="Times New Roman"/>
          <w:b w:val="0"/>
          <w:bCs w:val="0"/>
          <w:color w:val="auto"/>
          <w:sz w:val="30"/>
          <w:szCs w:val="30"/>
          <w:lang w:val="en-US" w:eastAsia="zh-CN"/>
        </w:rPr>
        <w:t>中标方</w:t>
      </w:r>
      <w:r>
        <w:rPr>
          <w:rFonts w:hint="eastAsia" w:ascii="仿宋" w:hAnsi="仿宋" w:eastAsia="仿宋" w:cs="Times New Roman"/>
          <w:b w:val="0"/>
          <w:bCs w:val="0"/>
          <w:color w:val="auto"/>
          <w:sz w:val="30"/>
          <w:szCs w:val="30"/>
          <w:lang w:eastAsia="zh-CN"/>
        </w:rPr>
        <w:t>免费修复或处理并达到双方签订的技术协议的标准。</w:t>
      </w:r>
    </w:p>
    <w:p w14:paraId="66A0119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w:t>
      </w:r>
    </w:p>
    <w:p w14:paraId="5B066BCE">
      <w:pPr>
        <w:keepNext w:val="0"/>
        <w:keepLines w:val="0"/>
        <w:pageBreakBefore w:val="0"/>
        <w:widowControl w:val="0"/>
        <w:kinsoku/>
        <w:wordWrap/>
        <w:overflowPunct/>
        <w:topLinePunct w:val="0"/>
        <w:autoSpaceDE/>
        <w:autoSpaceDN/>
        <w:bidi w:val="0"/>
        <w:adjustRightInd/>
        <w:snapToGrid/>
        <w:spacing w:line="500" w:lineRule="exact"/>
        <w:ind w:right="0" w:rightChars="0" w:firstLine="5100" w:firstLineChars="1700"/>
        <w:jc w:val="left"/>
        <w:textAlignment w:val="auto"/>
        <w:outlineLvl w:val="9"/>
        <w:rPr>
          <w:rFonts w:hint="eastAsia" w:ascii="仿宋" w:hAnsi="仿宋" w:eastAsia="仿宋"/>
          <w:b w:val="0"/>
          <w:bCs w:val="0"/>
          <w:color w:val="auto"/>
          <w:sz w:val="30"/>
          <w:szCs w:val="30"/>
        </w:rPr>
      </w:pPr>
      <w:r>
        <w:rPr>
          <w:rFonts w:hint="eastAsia" w:ascii="仿宋" w:hAnsi="仿宋" w:eastAsia="仿宋"/>
          <w:b w:val="0"/>
          <w:bCs w:val="0"/>
          <w:color w:val="auto"/>
          <w:sz w:val="30"/>
          <w:szCs w:val="30"/>
        </w:rPr>
        <w:t xml:space="preserve">报价单位（盖章）：              </w:t>
      </w:r>
    </w:p>
    <w:p w14:paraId="5D929A0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jc w:val="left"/>
        <w:textAlignment w:val="auto"/>
        <w:outlineLvl w:val="9"/>
        <w:rPr>
          <w:rFonts w:hint="eastAsia" w:ascii="仿宋" w:hAnsi="仿宋" w:eastAsia="仿宋"/>
          <w:b w:val="0"/>
          <w:bCs w:val="0"/>
          <w:color w:val="auto"/>
          <w:sz w:val="30"/>
          <w:szCs w:val="30"/>
        </w:rPr>
      </w:pPr>
      <w:r>
        <w:rPr>
          <w:rFonts w:hint="eastAsia" w:ascii="仿宋" w:hAnsi="仿宋" w:eastAsia="仿宋"/>
          <w:b w:val="0"/>
          <w:bCs w:val="0"/>
          <w:color w:val="auto"/>
          <w:sz w:val="30"/>
          <w:szCs w:val="30"/>
        </w:rPr>
        <w:t xml:space="preserve">                              报价人：（签字）：             </w:t>
      </w:r>
    </w:p>
    <w:p w14:paraId="7AD2FBC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jc w:val="left"/>
        <w:textAlignment w:val="auto"/>
        <w:outlineLvl w:val="9"/>
        <w:rPr>
          <w:rFonts w:hint="eastAsia" w:ascii="仿宋" w:hAnsi="仿宋" w:eastAsia="仿宋"/>
          <w:b/>
          <w:bCs/>
          <w:color w:val="auto"/>
          <w:sz w:val="30"/>
          <w:szCs w:val="30"/>
          <w:lang w:eastAsia="zh-CN"/>
        </w:rPr>
      </w:pPr>
      <w:r>
        <w:rPr>
          <w:rFonts w:hint="eastAsia" w:ascii="仿宋" w:hAnsi="仿宋" w:eastAsia="仿宋"/>
          <w:b w:val="0"/>
          <w:bCs w:val="0"/>
          <w:color w:val="auto"/>
          <w:sz w:val="30"/>
          <w:szCs w:val="30"/>
        </w:rPr>
        <w:t xml:space="preserve">                         报价时间：</w:t>
      </w:r>
      <w:r>
        <w:rPr>
          <w:rFonts w:hint="eastAsia" w:ascii="仿宋" w:hAnsi="仿宋" w:eastAsia="仿宋"/>
          <w:b w:val="0"/>
          <w:bCs w:val="0"/>
          <w:color w:val="auto"/>
          <w:sz w:val="30"/>
          <w:szCs w:val="30"/>
          <w:lang w:val="en-US" w:eastAsia="zh-CN"/>
        </w:rPr>
        <w:t>2026</w:t>
      </w:r>
      <w:r>
        <w:rPr>
          <w:rFonts w:hint="eastAsia" w:ascii="仿宋" w:hAnsi="仿宋" w:eastAsia="仿宋"/>
          <w:b w:val="0"/>
          <w:bCs w:val="0"/>
          <w:color w:val="auto"/>
          <w:sz w:val="30"/>
          <w:szCs w:val="30"/>
        </w:rPr>
        <w:t>年</w:t>
      </w:r>
      <w:r>
        <w:rPr>
          <w:rFonts w:hint="eastAsia" w:ascii="仿宋" w:hAnsi="仿宋" w:eastAsia="仿宋"/>
          <w:b w:val="0"/>
          <w:bCs w:val="0"/>
          <w:color w:val="auto"/>
          <w:sz w:val="30"/>
          <w:szCs w:val="30"/>
          <w:lang w:val="en-US" w:eastAsia="zh-CN"/>
        </w:rPr>
        <w:t>3</w:t>
      </w:r>
      <w:r>
        <w:rPr>
          <w:rFonts w:hint="eastAsia" w:ascii="仿宋" w:hAnsi="仿宋" w:eastAsia="仿宋"/>
          <w:b w:val="0"/>
          <w:bCs w:val="0"/>
          <w:color w:val="auto"/>
          <w:sz w:val="30"/>
          <w:szCs w:val="30"/>
        </w:rPr>
        <w:t>月</w:t>
      </w:r>
      <w:r>
        <w:rPr>
          <w:rFonts w:hint="eastAsia" w:ascii="仿宋" w:hAnsi="仿宋" w:eastAsia="仿宋"/>
          <w:b w:val="0"/>
          <w:bCs w:val="0"/>
          <w:color w:val="auto"/>
          <w:sz w:val="30"/>
          <w:szCs w:val="30"/>
          <w:lang w:val="en-US" w:eastAsia="zh-CN"/>
        </w:rPr>
        <w:t>13</w:t>
      </w:r>
      <w:r>
        <w:rPr>
          <w:rFonts w:hint="eastAsia" w:ascii="仿宋" w:hAnsi="仿宋" w:eastAsia="仿宋"/>
          <w:b w:val="0"/>
          <w:bCs w:val="0"/>
          <w:color w:val="auto"/>
          <w:sz w:val="30"/>
          <w:szCs w:val="30"/>
        </w:rPr>
        <w:t>日</w:t>
      </w:r>
    </w:p>
    <w:p w14:paraId="422E539B">
      <w:pPr>
        <w:spacing w:line="500" w:lineRule="exact"/>
        <w:rPr>
          <w:rFonts w:ascii="仿宋" w:hAnsi="仿宋" w:eastAsia="仿宋"/>
          <w:sz w:val="28"/>
          <w:szCs w:val="24"/>
        </w:rPr>
      </w:pPr>
    </w:p>
    <w:p w14:paraId="2D299EAE">
      <w:pPr>
        <w:spacing w:line="500" w:lineRule="exact"/>
        <w:rPr>
          <w:rFonts w:ascii="仿宋" w:hAnsi="仿宋" w:eastAsia="仿宋"/>
          <w:sz w:val="28"/>
          <w:szCs w:val="24"/>
        </w:rPr>
      </w:pPr>
    </w:p>
    <w:p w14:paraId="4BAC2555">
      <w:pPr>
        <w:spacing w:line="500" w:lineRule="exact"/>
        <w:rPr>
          <w:rFonts w:ascii="仿宋" w:hAnsi="仿宋" w:eastAsia="仿宋"/>
          <w:sz w:val="28"/>
          <w:szCs w:val="24"/>
        </w:rPr>
      </w:pPr>
    </w:p>
    <w:p w14:paraId="7540C028">
      <w:pPr>
        <w:spacing w:line="500" w:lineRule="exact"/>
        <w:rPr>
          <w:rFonts w:hint="eastAsia" w:ascii="仿宋" w:hAnsi="仿宋" w:eastAsia="仿宋"/>
          <w:sz w:val="28"/>
          <w:szCs w:val="24"/>
        </w:rPr>
      </w:pPr>
    </w:p>
    <w:p w14:paraId="6532A007">
      <w:pPr>
        <w:spacing w:line="500" w:lineRule="exact"/>
        <w:rPr>
          <w:rFonts w:hint="eastAsia" w:ascii="仿宋_GB2312" w:hAnsi="宋体" w:eastAsia="仿宋"/>
          <w:sz w:val="30"/>
          <w:szCs w:val="30"/>
        </w:rPr>
      </w:pPr>
      <w:r>
        <w:rPr>
          <w:rFonts w:hint="eastAsia" w:ascii="仿宋" w:hAnsi="仿宋" w:eastAsia="仿宋"/>
          <w:sz w:val="28"/>
          <w:szCs w:val="24"/>
        </w:rPr>
        <w:t>附件6、</w:t>
      </w:r>
      <w:r>
        <w:rPr>
          <w:rFonts w:hint="eastAsia" w:ascii="仿宋" w:hAnsi="仿宋" w:eastAsia="仿宋"/>
          <w:sz w:val="28"/>
          <w:szCs w:val="28"/>
        </w:rPr>
        <w:t>参考合同条款（具体以签订合同为准）</w:t>
      </w:r>
    </w:p>
    <w:p w14:paraId="62322075">
      <w:pPr>
        <w:widowControl/>
        <w:adjustRightInd w:val="0"/>
        <w:snapToGrid w:val="0"/>
        <w:spacing w:after="200" w:line="360" w:lineRule="auto"/>
        <w:jc w:val="center"/>
        <w:rPr>
          <w:rFonts w:hint="eastAsia" w:ascii="黑体" w:hAnsi="黑体" w:eastAsia="黑体" w:cs="仿宋"/>
          <w:b/>
          <w:kern w:val="0"/>
          <w:sz w:val="52"/>
          <w:szCs w:val="52"/>
        </w:rPr>
      </w:pPr>
      <w:r>
        <w:rPr>
          <w:rFonts w:hint="eastAsia" w:ascii="黑体" w:hAnsi="黑体" w:eastAsia="黑体" w:cs="仿宋"/>
          <w:b/>
          <w:kern w:val="0"/>
          <w:sz w:val="52"/>
          <w:szCs w:val="52"/>
        </w:rPr>
        <w:t>*********有限公司</w:t>
      </w:r>
    </w:p>
    <w:p w14:paraId="38140245">
      <w:pPr>
        <w:spacing w:line="360" w:lineRule="auto"/>
        <w:jc w:val="center"/>
        <w:rPr>
          <w:rFonts w:hint="eastAsia" w:ascii="黑体" w:hAnsi="黑体" w:eastAsia="黑体" w:cs="仿宋"/>
          <w:b/>
          <w:kern w:val="0"/>
          <w:sz w:val="44"/>
          <w:szCs w:val="44"/>
        </w:rPr>
      </w:pPr>
      <w:r>
        <w:rPr>
          <w:rFonts w:hint="eastAsia" w:ascii="黑体" w:hAnsi="黑体" w:eastAsia="黑体" w:cs="仿宋"/>
          <w:b/>
          <w:kern w:val="0"/>
          <w:sz w:val="44"/>
          <w:szCs w:val="44"/>
        </w:rPr>
        <w:t>*********</w:t>
      </w:r>
    </w:p>
    <w:p w14:paraId="72A7DBC4">
      <w:pPr>
        <w:spacing w:line="360" w:lineRule="auto"/>
        <w:jc w:val="center"/>
        <w:rPr>
          <w:rFonts w:hint="eastAsia" w:ascii="黑体" w:hAnsi="黑体" w:eastAsia="黑体"/>
          <w:sz w:val="44"/>
          <w:szCs w:val="44"/>
        </w:rPr>
      </w:pPr>
      <w:r>
        <w:rPr>
          <w:rFonts w:hint="eastAsia" w:ascii="黑体" w:hAnsi="黑体" w:eastAsia="黑体"/>
          <w:sz w:val="44"/>
          <w:szCs w:val="44"/>
        </w:rPr>
        <w:t>商务合同</w:t>
      </w:r>
    </w:p>
    <w:p w14:paraId="2CA6F214">
      <w:pPr>
        <w:spacing w:line="360" w:lineRule="auto"/>
        <w:ind w:firstLine="560" w:firstLineChars="200"/>
        <w:jc w:val="center"/>
        <w:rPr>
          <w:rFonts w:hint="eastAsia" w:asciiTheme="minorEastAsia" w:hAnsiTheme="minorEastAsia"/>
          <w:sz w:val="28"/>
          <w:szCs w:val="28"/>
        </w:rPr>
      </w:pPr>
    </w:p>
    <w:p w14:paraId="1BA1B71E">
      <w:pPr>
        <w:spacing w:line="360" w:lineRule="auto"/>
        <w:jc w:val="center"/>
        <w:rPr>
          <w:rFonts w:hint="eastAsia" w:ascii="黑体" w:hAnsi="黑体" w:eastAsia="黑体" w:cs="仿宋"/>
          <w:b/>
          <w:kern w:val="0"/>
          <w:sz w:val="44"/>
          <w:szCs w:val="44"/>
        </w:rPr>
      </w:pPr>
      <w:r>
        <w:rPr>
          <w:rFonts w:hint="eastAsia" w:ascii="黑体" w:hAnsi="黑体" w:eastAsia="黑体" w:cs="仿宋"/>
          <w:b/>
          <w:kern w:val="0"/>
          <w:sz w:val="44"/>
          <w:szCs w:val="44"/>
        </w:rPr>
        <w:t>（仅供参考）具体以签订合同为准</w:t>
      </w:r>
    </w:p>
    <w:p w14:paraId="25FAC92D">
      <w:pPr>
        <w:spacing w:line="360" w:lineRule="auto"/>
        <w:ind w:firstLine="560" w:firstLineChars="200"/>
        <w:jc w:val="center"/>
        <w:rPr>
          <w:rFonts w:hint="eastAsia" w:asciiTheme="minorEastAsia" w:hAnsiTheme="minorEastAsia"/>
          <w:sz w:val="28"/>
          <w:szCs w:val="28"/>
        </w:rPr>
      </w:pPr>
    </w:p>
    <w:p w14:paraId="21047D92">
      <w:pPr>
        <w:spacing w:line="360" w:lineRule="auto"/>
        <w:ind w:firstLine="560" w:firstLineChars="200"/>
        <w:jc w:val="center"/>
        <w:rPr>
          <w:rFonts w:hint="eastAsia" w:asciiTheme="minorEastAsia" w:hAnsiTheme="minorEastAsia"/>
          <w:sz w:val="28"/>
          <w:szCs w:val="28"/>
        </w:rPr>
      </w:pPr>
    </w:p>
    <w:p w14:paraId="445202AF">
      <w:pPr>
        <w:spacing w:line="360" w:lineRule="auto"/>
        <w:ind w:firstLine="560" w:firstLineChars="200"/>
        <w:jc w:val="center"/>
        <w:rPr>
          <w:rFonts w:hint="eastAsia" w:asciiTheme="minorEastAsia" w:hAnsiTheme="minorEastAsia"/>
          <w:sz w:val="28"/>
          <w:szCs w:val="28"/>
        </w:rPr>
      </w:pP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9"/>
        <w:gridCol w:w="5387"/>
      </w:tblGrid>
      <w:tr w14:paraId="4133E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079" w:type="dxa"/>
            <w:vAlign w:val="bottom"/>
          </w:tcPr>
          <w:p w14:paraId="193DD9B4">
            <w:pPr>
              <w:widowControl/>
              <w:adjustRightInd w:val="0"/>
              <w:snapToGrid w:val="0"/>
              <w:spacing w:line="240" w:lineRule="atLeast"/>
              <w:jc w:val="center"/>
              <w:rPr>
                <w:rFonts w:ascii="Arial" w:hAnsi="Arial" w:eastAsia="黑体" w:cs="Arial"/>
                <w:bCs/>
                <w:kern w:val="0"/>
                <w:sz w:val="28"/>
                <w:szCs w:val="28"/>
                <w:lang w:val="en-GB"/>
              </w:rPr>
            </w:pPr>
            <w:r>
              <w:rPr>
                <w:rFonts w:ascii="Arial" w:hAnsi="Arial" w:eastAsia="黑体" w:cs="Arial"/>
                <w:bCs/>
                <w:kern w:val="0"/>
                <w:sz w:val="28"/>
                <w:szCs w:val="28"/>
                <w:lang w:val="en-GB"/>
              </w:rPr>
              <w:t>项目名称</w:t>
            </w:r>
          </w:p>
        </w:tc>
        <w:tc>
          <w:tcPr>
            <w:tcW w:w="5387" w:type="dxa"/>
            <w:vAlign w:val="bottom"/>
          </w:tcPr>
          <w:p w14:paraId="74D597F8">
            <w:pPr>
              <w:widowControl/>
              <w:adjustRightInd w:val="0"/>
              <w:snapToGrid w:val="0"/>
              <w:spacing w:line="240" w:lineRule="atLeast"/>
              <w:rPr>
                <w:rFonts w:ascii="Arial" w:hAnsi="Arial" w:eastAsia="黑体" w:cs="Arial"/>
                <w:bCs/>
                <w:kern w:val="0"/>
                <w:sz w:val="28"/>
                <w:szCs w:val="28"/>
                <w:lang w:val="en-GB"/>
              </w:rPr>
            </w:pPr>
            <w:r>
              <w:rPr>
                <w:rFonts w:hint="eastAsia" w:ascii="Arial" w:hAnsi="Arial" w:eastAsia="黑体" w:cs="Arial"/>
                <w:bCs/>
                <w:kern w:val="0"/>
                <w:sz w:val="28"/>
                <w:szCs w:val="28"/>
                <w:lang w:val="en-GB"/>
              </w:rPr>
              <w:t>****************</w:t>
            </w:r>
            <w:r>
              <w:rPr>
                <w:rFonts w:ascii="Arial" w:hAnsi="Arial" w:eastAsia="黑体" w:cs="Arial"/>
                <w:bCs/>
                <w:kern w:val="0"/>
                <w:sz w:val="28"/>
                <w:szCs w:val="28"/>
                <w:lang w:val="en-GB"/>
              </w:rPr>
              <w:t>项目</w:t>
            </w:r>
          </w:p>
        </w:tc>
      </w:tr>
      <w:tr w14:paraId="76423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9" w:type="dxa"/>
            <w:vAlign w:val="bottom"/>
          </w:tcPr>
          <w:p w14:paraId="001E7001">
            <w:pPr>
              <w:widowControl/>
              <w:adjustRightInd w:val="0"/>
              <w:snapToGrid w:val="0"/>
              <w:spacing w:line="240" w:lineRule="atLeast"/>
              <w:jc w:val="center"/>
              <w:rPr>
                <w:rFonts w:ascii="Arial" w:hAnsi="Arial" w:eastAsia="黑体" w:cs="Arial"/>
                <w:bCs/>
                <w:kern w:val="0"/>
                <w:sz w:val="28"/>
                <w:szCs w:val="28"/>
              </w:rPr>
            </w:pPr>
            <w:r>
              <w:rPr>
                <w:rFonts w:ascii="Arial" w:hAnsi="Arial" w:eastAsia="黑体" w:cs="Arial"/>
                <w:bCs/>
                <w:kern w:val="0"/>
                <w:sz w:val="28"/>
                <w:szCs w:val="28"/>
              </w:rPr>
              <w:t>合同编号</w:t>
            </w:r>
          </w:p>
        </w:tc>
        <w:tc>
          <w:tcPr>
            <w:tcW w:w="5387" w:type="dxa"/>
            <w:vAlign w:val="bottom"/>
          </w:tcPr>
          <w:p w14:paraId="2ABB80A0">
            <w:pPr>
              <w:widowControl/>
              <w:adjustRightInd w:val="0"/>
              <w:snapToGrid w:val="0"/>
              <w:spacing w:line="240" w:lineRule="atLeast"/>
              <w:rPr>
                <w:rFonts w:ascii="Arial" w:hAnsi="Arial" w:eastAsia="黑体" w:cs="Arial"/>
                <w:bCs/>
                <w:kern w:val="0"/>
                <w:sz w:val="28"/>
                <w:szCs w:val="28"/>
                <w:lang w:val="en-GB"/>
              </w:rPr>
            </w:pPr>
            <w:r>
              <w:rPr>
                <w:rFonts w:hint="eastAsia" w:ascii="Arial" w:hAnsi="Arial" w:eastAsia="黑体" w:cs="Arial"/>
                <w:bCs/>
                <w:kern w:val="0"/>
                <w:sz w:val="28"/>
                <w:szCs w:val="28"/>
                <w:lang w:val="en-GB"/>
              </w:rPr>
              <w:t>****************</w:t>
            </w:r>
            <w:r>
              <w:rPr>
                <w:rFonts w:ascii="Arial" w:hAnsi="Arial" w:eastAsia="黑体" w:cs="Arial"/>
                <w:bCs/>
                <w:kern w:val="0"/>
                <w:sz w:val="28"/>
                <w:szCs w:val="28"/>
                <w:lang w:val="en-GB"/>
              </w:rPr>
              <w:t>（</w:t>
            </w:r>
            <w:r>
              <w:rPr>
                <w:rFonts w:hint="eastAsia" w:ascii="Arial" w:hAnsi="Arial" w:eastAsia="黑体" w:cs="Arial"/>
                <w:bCs/>
                <w:kern w:val="0"/>
                <w:sz w:val="28"/>
                <w:szCs w:val="28"/>
                <w:lang w:val="en-GB"/>
              </w:rPr>
              <w:t>甲</w:t>
            </w:r>
            <w:r>
              <w:rPr>
                <w:rFonts w:ascii="Arial" w:hAnsi="Arial" w:eastAsia="黑体" w:cs="Arial"/>
                <w:bCs/>
                <w:kern w:val="0"/>
                <w:sz w:val="28"/>
                <w:szCs w:val="28"/>
                <w:lang w:val="en-GB"/>
              </w:rPr>
              <w:t>方）</w:t>
            </w:r>
          </w:p>
        </w:tc>
      </w:tr>
      <w:tr w14:paraId="4BD30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9" w:type="dxa"/>
            <w:vAlign w:val="bottom"/>
          </w:tcPr>
          <w:p w14:paraId="666BAF84">
            <w:pPr>
              <w:widowControl/>
              <w:adjustRightInd w:val="0"/>
              <w:snapToGrid w:val="0"/>
              <w:spacing w:line="240" w:lineRule="atLeast"/>
              <w:jc w:val="center"/>
              <w:rPr>
                <w:rFonts w:ascii="Arial" w:hAnsi="Arial" w:eastAsia="黑体" w:cs="Arial"/>
                <w:bCs/>
                <w:kern w:val="0"/>
                <w:sz w:val="28"/>
                <w:szCs w:val="28"/>
              </w:rPr>
            </w:pPr>
            <w:r>
              <w:rPr>
                <w:rFonts w:ascii="Arial" w:hAnsi="Arial" w:eastAsia="黑体" w:cs="Arial"/>
                <w:bCs/>
                <w:kern w:val="0"/>
                <w:sz w:val="28"/>
                <w:szCs w:val="28"/>
              </w:rPr>
              <w:t>合同编号</w:t>
            </w:r>
          </w:p>
        </w:tc>
        <w:tc>
          <w:tcPr>
            <w:tcW w:w="5387" w:type="dxa"/>
            <w:vAlign w:val="bottom"/>
          </w:tcPr>
          <w:p w14:paraId="4C39432E">
            <w:pPr>
              <w:widowControl/>
              <w:adjustRightInd w:val="0"/>
              <w:snapToGrid w:val="0"/>
              <w:spacing w:line="240" w:lineRule="atLeast"/>
              <w:rPr>
                <w:rFonts w:ascii="Arial" w:hAnsi="Arial" w:eastAsia="黑体" w:cs="Arial"/>
                <w:bCs/>
                <w:kern w:val="0"/>
                <w:sz w:val="28"/>
                <w:szCs w:val="28"/>
                <w:lang w:val="en-GB"/>
              </w:rPr>
            </w:pPr>
            <w:r>
              <w:rPr>
                <w:rFonts w:hint="eastAsia" w:ascii="Arial" w:hAnsi="Arial" w:eastAsia="黑体" w:cs="Arial"/>
                <w:bCs/>
                <w:kern w:val="0"/>
                <w:sz w:val="28"/>
                <w:szCs w:val="28"/>
                <w:lang w:val="en-GB"/>
              </w:rPr>
              <w:t>****************</w:t>
            </w:r>
            <w:r>
              <w:rPr>
                <w:rFonts w:ascii="Arial" w:hAnsi="Arial" w:eastAsia="黑体" w:cs="Arial"/>
                <w:bCs/>
                <w:kern w:val="0"/>
                <w:sz w:val="28"/>
                <w:szCs w:val="28"/>
                <w:lang w:val="en-GB"/>
              </w:rPr>
              <w:t>（</w:t>
            </w:r>
            <w:r>
              <w:rPr>
                <w:rFonts w:hint="eastAsia" w:ascii="Arial" w:hAnsi="Arial" w:eastAsia="黑体" w:cs="Arial"/>
                <w:bCs/>
                <w:kern w:val="0"/>
                <w:sz w:val="28"/>
                <w:szCs w:val="28"/>
                <w:lang w:val="en-GB"/>
              </w:rPr>
              <w:t>乙</w:t>
            </w:r>
            <w:r>
              <w:rPr>
                <w:rFonts w:ascii="Arial" w:hAnsi="Arial" w:eastAsia="黑体" w:cs="Arial"/>
                <w:bCs/>
                <w:kern w:val="0"/>
                <w:sz w:val="28"/>
                <w:szCs w:val="28"/>
                <w:lang w:val="en-GB"/>
              </w:rPr>
              <w:t>方）</w:t>
            </w:r>
          </w:p>
        </w:tc>
      </w:tr>
      <w:tr w14:paraId="5EC79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9" w:type="dxa"/>
            <w:vAlign w:val="bottom"/>
          </w:tcPr>
          <w:p w14:paraId="79FD4A44">
            <w:pPr>
              <w:widowControl/>
              <w:adjustRightInd w:val="0"/>
              <w:snapToGrid w:val="0"/>
              <w:spacing w:line="240" w:lineRule="atLeast"/>
              <w:jc w:val="center"/>
              <w:rPr>
                <w:rFonts w:ascii="Arial" w:hAnsi="Arial" w:eastAsia="黑体" w:cs="Arial"/>
                <w:bCs/>
                <w:kern w:val="0"/>
                <w:sz w:val="28"/>
                <w:szCs w:val="28"/>
                <w:lang w:val="en-GB"/>
              </w:rPr>
            </w:pPr>
            <w:r>
              <w:rPr>
                <w:rFonts w:hint="eastAsia" w:ascii="Arial" w:hAnsi="Arial" w:eastAsia="黑体" w:cs="Arial"/>
                <w:bCs/>
                <w:kern w:val="0"/>
                <w:sz w:val="28"/>
                <w:szCs w:val="28"/>
                <w:lang w:val="en-GB"/>
              </w:rPr>
              <w:t>甲</w:t>
            </w:r>
            <w:r>
              <w:rPr>
                <w:rFonts w:ascii="Arial" w:hAnsi="Arial" w:eastAsia="黑体" w:cs="Arial"/>
                <w:bCs/>
                <w:kern w:val="0"/>
                <w:sz w:val="28"/>
                <w:szCs w:val="28"/>
                <w:lang w:val="en-GB"/>
              </w:rPr>
              <w:t>方</w:t>
            </w:r>
          </w:p>
        </w:tc>
        <w:tc>
          <w:tcPr>
            <w:tcW w:w="5387" w:type="dxa"/>
            <w:vAlign w:val="bottom"/>
          </w:tcPr>
          <w:p w14:paraId="05170280">
            <w:pPr>
              <w:widowControl/>
              <w:adjustRightInd w:val="0"/>
              <w:snapToGrid w:val="0"/>
              <w:spacing w:line="240" w:lineRule="atLeast"/>
              <w:rPr>
                <w:rFonts w:ascii="Arial" w:hAnsi="Arial" w:eastAsia="黑体" w:cs="Arial"/>
                <w:bCs/>
                <w:kern w:val="0"/>
                <w:sz w:val="28"/>
                <w:szCs w:val="28"/>
                <w:lang w:val="en-GB"/>
              </w:rPr>
            </w:pPr>
            <w:r>
              <w:rPr>
                <w:rFonts w:hint="eastAsia" w:ascii="Arial" w:hAnsi="Arial" w:eastAsia="黑体" w:cs="Arial"/>
                <w:bCs/>
                <w:kern w:val="0"/>
                <w:sz w:val="28"/>
                <w:szCs w:val="28"/>
                <w:lang w:val="en-GB"/>
              </w:rPr>
              <w:t>***********</w:t>
            </w:r>
            <w:r>
              <w:rPr>
                <w:rFonts w:ascii="Arial" w:hAnsi="Arial" w:eastAsia="黑体" w:cs="Arial"/>
                <w:bCs/>
                <w:kern w:val="0"/>
                <w:sz w:val="28"/>
                <w:szCs w:val="28"/>
                <w:lang w:val="en-GB"/>
              </w:rPr>
              <w:t>有限公司</w:t>
            </w:r>
          </w:p>
        </w:tc>
      </w:tr>
      <w:tr w14:paraId="762DD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9" w:type="dxa"/>
            <w:vAlign w:val="bottom"/>
          </w:tcPr>
          <w:p w14:paraId="2AC316FA">
            <w:pPr>
              <w:widowControl/>
              <w:adjustRightInd w:val="0"/>
              <w:snapToGrid w:val="0"/>
              <w:spacing w:line="240" w:lineRule="atLeast"/>
              <w:jc w:val="center"/>
              <w:rPr>
                <w:rFonts w:ascii="Arial" w:hAnsi="Arial" w:eastAsia="黑体" w:cs="Arial"/>
                <w:bCs/>
                <w:kern w:val="0"/>
                <w:sz w:val="28"/>
                <w:szCs w:val="28"/>
                <w:lang w:val="en-GB"/>
              </w:rPr>
            </w:pPr>
            <w:r>
              <w:rPr>
                <w:rFonts w:hint="eastAsia" w:ascii="Arial" w:hAnsi="Arial" w:eastAsia="黑体" w:cs="Arial"/>
                <w:bCs/>
                <w:kern w:val="0"/>
                <w:sz w:val="28"/>
                <w:szCs w:val="28"/>
                <w:lang w:val="en-GB"/>
              </w:rPr>
              <w:t>乙方</w:t>
            </w:r>
          </w:p>
        </w:tc>
        <w:tc>
          <w:tcPr>
            <w:tcW w:w="5387" w:type="dxa"/>
            <w:vAlign w:val="bottom"/>
          </w:tcPr>
          <w:p w14:paraId="19553DBA">
            <w:pPr>
              <w:widowControl/>
              <w:adjustRightInd w:val="0"/>
              <w:snapToGrid w:val="0"/>
              <w:spacing w:line="240" w:lineRule="atLeast"/>
              <w:rPr>
                <w:rFonts w:ascii="Arial" w:hAnsi="Arial" w:eastAsia="黑体" w:cs="Arial"/>
                <w:bCs/>
                <w:kern w:val="0"/>
                <w:sz w:val="28"/>
                <w:szCs w:val="28"/>
              </w:rPr>
            </w:pPr>
          </w:p>
        </w:tc>
      </w:tr>
      <w:tr w14:paraId="49444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9" w:type="dxa"/>
            <w:vAlign w:val="bottom"/>
          </w:tcPr>
          <w:p w14:paraId="57CF9946">
            <w:pPr>
              <w:widowControl/>
              <w:adjustRightInd w:val="0"/>
              <w:snapToGrid w:val="0"/>
              <w:spacing w:line="240" w:lineRule="atLeast"/>
              <w:jc w:val="center"/>
              <w:rPr>
                <w:rFonts w:ascii="Arial" w:hAnsi="Arial" w:eastAsia="黑体" w:cs="Arial"/>
                <w:bCs/>
                <w:kern w:val="0"/>
                <w:sz w:val="28"/>
                <w:szCs w:val="28"/>
                <w:lang w:val="en-GB"/>
              </w:rPr>
            </w:pPr>
            <w:r>
              <w:rPr>
                <w:rFonts w:ascii="Arial" w:hAnsi="Arial" w:eastAsia="黑体" w:cs="Arial"/>
                <w:bCs/>
                <w:kern w:val="0"/>
                <w:sz w:val="28"/>
                <w:szCs w:val="28"/>
                <w:lang w:val="en-GB"/>
              </w:rPr>
              <w:t>签订时间</w:t>
            </w:r>
          </w:p>
        </w:tc>
        <w:tc>
          <w:tcPr>
            <w:tcW w:w="5387" w:type="dxa"/>
            <w:vAlign w:val="bottom"/>
          </w:tcPr>
          <w:p w14:paraId="5237FF26">
            <w:pPr>
              <w:widowControl/>
              <w:adjustRightInd w:val="0"/>
              <w:snapToGrid w:val="0"/>
              <w:spacing w:line="240" w:lineRule="atLeast"/>
              <w:rPr>
                <w:rFonts w:ascii="Arial" w:hAnsi="Arial" w:eastAsia="黑体" w:cs="Arial"/>
                <w:bCs/>
                <w:kern w:val="0"/>
                <w:sz w:val="28"/>
                <w:szCs w:val="28"/>
                <w:lang w:val="en-GB"/>
              </w:rPr>
            </w:pPr>
            <w:r>
              <w:rPr>
                <w:rFonts w:ascii="Arial" w:hAnsi="Arial" w:eastAsia="黑体" w:cs="Arial"/>
                <w:bCs/>
                <w:kern w:val="0"/>
                <w:sz w:val="28"/>
                <w:szCs w:val="28"/>
                <w:lang w:val="en-GB"/>
              </w:rPr>
              <w:t>202</w:t>
            </w:r>
            <w:r>
              <w:rPr>
                <w:rFonts w:hint="eastAsia" w:ascii="Arial" w:hAnsi="Arial" w:eastAsia="黑体" w:cs="Arial"/>
                <w:bCs/>
                <w:kern w:val="0"/>
                <w:sz w:val="28"/>
                <w:szCs w:val="28"/>
                <w:lang w:val="en-US" w:eastAsia="zh-CN"/>
              </w:rPr>
              <w:t>6</w:t>
            </w:r>
            <w:r>
              <w:rPr>
                <w:rFonts w:ascii="Arial" w:hAnsi="Arial" w:eastAsia="黑体" w:cs="Arial"/>
                <w:bCs/>
                <w:kern w:val="0"/>
                <w:sz w:val="28"/>
                <w:szCs w:val="28"/>
                <w:lang w:val="en-GB"/>
              </w:rPr>
              <w:t>年</w:t>
            </w:r>
            <w:r>
              <w:rPr>
                <w:rFonts w:hint="eastAsia" w:ascii="Arial" w:hAnsi="Arial" w:eastAsia="黑体" w:cs="Arial"/>
                <w:bCs/>
                <w:kern w:val="0"/>
                <w:sz w:val="28"/>
                <w:szCs w:val="28"/>
              </w:rPr>
              <w:t xml:space="preserve">  </w:t>
            </w:r>
            <w:r>
              <w:rPr>
                <w:rFonts w:ascii="Arial" w:hAnsi="Arial" w:eastAsia="黑体" w:cs="Arial"/>
                <w:bCs/>
                <w:kern w:val="0"/>
                <w:sz w:val="28"/>
                <w:szCs w:val="28"/>
                <w:lang w:val="en-GB"/>
              </w:rPr>
              <w:t>月</w:t>
            </w:r>
            <w:r>
              <w:rPr>
                <w:rFonts w:hint="eastAsia" w:ascii="Arial" w:hAnsi="Arial" w:eastAsia="黑体" w:cs="Arial"/>
                <w:bCs/>
                <w:kern w:val="0"/>
                <w:sz w:val="28"/>
                <w:szCs w:val="28"/>
              </w:rPr>
              <w:t xml:space="preserve">  </w:t>
            </w:r>
            <w:r>
              <w:rPr>
                <w:rFonts w:ascii="Arial" w:hAnsi="Arial" w:eastAsia="黑体" w:cs="Arial"/>
                <w:bCs/>
                <w:kern w:val="0"/>
                <w:sz w:val="28"/>
                <w:szCs w:val="28"/>
                <w:lang w:val="en-GB"/>
              </w:rPr>
              <w:t>日</w:t>
            </w:r>
          </w:p>
        </w:tc>
      </w:tr>
      <w:tr w14:paraId="697FF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9" w:type="dxa"/>
            <w:vAlign w:val="bottom"/>
          </w:tcPr>
          <w:p w14:paraId="5AF73C7F">
            <w:pPr>
              <w:widowControl/>
              <w:adjustRightInd w:val="0"/>
              <w:snapToGrid w:val="0"/>
              <w:spacing w:line="240" w:lineRule="atLeast"/>
              <w:jc w:val="center"/>
              <w:rPr>
                <w:rFonts w:ascii="Arial" w:hAnsi="Arial" w:eastAsia="黑体" w:cs="Arial"/>
                <w:bCs/>
                <w:kern w:val="0"/>
                <w:sz w:val="28"/>
                <w:szCs w:val="28"/>
                <w:lang w:val="en-GB"/>
              </w:rPr>
            </w:pPr>
            <w:r>
              <w:rPr>
                <w:rFonts w:ascii="Arial" w:hAnsi="Arial" w:eastAsia="黑体" w:cs="Arial"/>
                <w:bCs/>
                <w:kern w:val="0"/>
                <w:sz w:val="28"/>
                <w:szCs w:val="28"/>
                <w:lang w:val="en-GB"/>
              </w:rPr>
              <w:t>签订地点</w:t>
            </w:r>
          </w:p>
        </w:tc>
        <w:tc>
          <w:tcPr>
            <w:tcW w:w="5387" w:type="dxa"/>
            <w:vAlign w:val="bottom"/>
          </w:tcPr>
          <w:p w14:paraId="59D8B40B">
            <w:pPr>
              <w:widowControl/>
              <w:adjustRightInd w:val="0"/>
              <w:snapToGrid w:val="0"/>
              <w:spacing w:line="240" w:lineRule="atLeast"/>
              <w:rPr>
                <w:rFonts w:ascii="Arial" w:hAnsi="Arial" w:eastAsia="黑体" w:cs="Arial"/>
                <w:bCs/>
                <w:kern w:val="0"/>
                <w:sz w:val="28"/>
                <w:szCs w:val="28"/>
                <w:lang w:val="en-GB"/>
              </w:rPr>
            </w:pPr>
            <w:r>
              <w:rPr>
                <w:rFonts w:ascii="Arial" w:hAnsi="Arial" w:eastAsia="黑体" w:cs="Arial"/>
                <w:bCs/>
                <w:kern w:val="0"/>
                <w:sz w:val="28"/>
                <w:szCs w:val="28"/>
                <w:lang w:val="en-GB"/>
              </w:rPr>
              <w:t>河南省.洛阳市.新安县</w:t>
            </w:r>
          </w:p>
        </w:tc>
      </w:tr>
    </w:tbl>
    <w:p w14:paraId="6D34394E">
      <w:pPr>
        <w:spacing w:line="360" w:lineRule="auto"/>
        <w:ind w:firstLine="560" w:firstLineChars="200"/>
        <w:jc w:val="center"/>
        <w:rPr>
          <w:rFonts w:hint="eastAsia" w:asciiTheme="minorEastAsia" w:hAnsiTheme="minorEastAsia"/>
          <w:sz w:val="28"/>
          <w:szCs w:val="28"/>
        </w:rPr>
      </w:pPr>
    </w:p>
    <w:p w14:paraId="078751E9">
      <w:pPr>
        <w:spacing w:line="360" w:lineRule="auto"/>
        <w:ind w:firstLine="560" w:firstLineChars="200"/>
        <w:jc w:val="center"/>
        <w:rPr>
          <w:rFonts w:hint="eastAsia" w:asciiTheme="minorEastAsia" w:hAnsiTheme="minorEastAsia"/>
          <w:sz w:val="28"/>
          <w:szCs w:val="28"/>
        </w:rPr>
      </w:pPr>
    </w:p>
    <w:p w14:paraId="6D5E12C3">
      <w:pPr>
        <w:spacing w:line="360" w:lineRule="auto"/>
        <w:ind w:firstLine="560" w:firstLineChars="200"/>
        <w:jc w:val="center"/>
        <w:rPr>
          <w:rFonts w:hint="eastAsia" w:asciiTheme="minorEastAsia" w:hAnsiTheme="minorEastAsia"/>
          <w:sz w:val="28"/>
          <w:szCs w:val="28"/>
        </w:rPr>
      </w:pPr>
    </w:p>
    <w:p w14:paraId="4D02A8BE">
      <w:pPr>
        <w:spacing w:line="360" w:lineRule="auto"/>
        <w:ind w:firstLine="560" w:firstLineChars="200"/>
        <w:jc w:val="center"/>
        <w:rPr>
          <w:rFonts w:hint="eastAsia" w:asciiTheme="minorEastAsia" w:hAnsiTheme="minorEastAsia"/>
          <w:sz w:val="28"/>
          <w:szCs w:val="28"/>
        </w:rPr>
      </w:pPr>
    </w:p>
    <w:p w14:paraId="7A105C0F">
      <w:pPr>
        <w:spacing w:line="360" w:lineRule="auto"/>
        <w:ind w:firstLine="560" w:firstLineChars="200"/>
        <w:jc w:val="center"/>
        <w:rPr>
          <w:rFonts w:hint="eastAsia" w:asciiTheme="minorEastAsia" w:hAnsiTheme="minorEastAsia"/>
          <w:sz w:val="28"/>
          <w:szCs w:val="28"/>
        </w:rPr>
      </w:pPr>
    </w:p>
    <w:p w14:paraId="60A89FE3">
      <w:pPr>
        <w:spacing w:line="360" w:lineRule="auto"/>
        <w:ind w:firstLine="560" w:firstLineChars="200"/>
        <w:jc w:val="center"/>
        <w:rPr>
          <w:rFonts w:hint="eastAsia" w:asciiTheme="minorEastAsia" w:hAnsiTheme="minorEastAsia"/>
          <w:sz w:val="28"/>
          <w:szCs w:val="28"/>
        </w:rPr>
      </w:pPr>
    </w:p>
    <w:p w14:paraId="400AABCB">
      <w:pPr>
        <w:spacing w:line="360" w:lineRule="auto"/>
        <w:ind w:firstLine="560" w:firstLineChars="200"/>
        <w:jc w:val="center"/>
        <w:rPr>
          <w:rFonts w:hint="eastAsia" w:asciiTheme="minorEastAsia" w:hAnsiTheme="minorEastAsia"/>
          <w:sz w:val="28"/>
          <w:szCs w:val="28"/>
        </w:rPr>
      </w:pPr>
    </w:p>
    <w:p w14:paraId="746D6CE6">
      <w:pPr>
        <w:widowControl/>
        <w:snapToGrid w:val="0"/>
        <w:spacing w:line="240" w:lineRule="atLeast"/>
        <w:ind w:firstLine="480" w:firstLineChars="200"/>
        <w:contextualSpacing/>
        <w:rPr>
          <w:rFonts w:hint="eastAsia" w:ascii="仿宋" w:hAnsi="仿宋" w:eastAsia="仿宋"/>
          <w:sz w:val="24"/>
          <w:szCs w:val="24"/>
        </w:rPr>
      </w:pPr>
      <w:r>
        <w:rPr>
          <w:rFonts w:hint="eastAsia" w:ascii="仿宋" w:hAnsi="仿宋" w:eastAsia="仿宋"/>
          <w:sz w:val="24"/>
          <w:szCs w:val="24"/>
        </w:rPr>
        <w:t>甲方**************有限公司在***********购买等相关事宜，</w:t>
      </w:r>
      <w:r>
        <w:rPr>
          <w:rFonts w:ascii="Arial" w:hAnsi="Arial" w:eastAsia="仿宋" w:cs="Arial"/>
          <w:sz w:val="24"/>
          <w:szCs w:val="24"/>
        </w:rPr>
        <w:t>依据万基编号为WJWZ-(202</w:t>
      </w:r>
      <w:r>
        <w:rPr>
          <w:rFonts w:hint="eastAsia" w:ascii="Arial" w:hAnsi="Arial" w:eastAsia="仿宋" w:cs="Arial"/>
          <w:sz w:val="24"/>
          <w:szCs w:val="24"/>
          <w:lang w:val="en-US" w:eastAsia="zh-CN"/>
        </w:rPr>
        <w:t>6</w:t>
      </w:r>
      <w:r>
        <w:rPr>
          <w:rFonts w:ascii="Arial" w:hAnsi="Arial" w:eastAsia="仿宋" w:cs="Arial"/>
          <w:sz w:val="24"/>
          <w:szCs w:val="24"/>
        </w:rPr>
        <w:t>)</w:t>
      </w:r>
      <w:r>
        <w:rPr>
          <w:rFonts w:hint="eastAsia" w:ascii="Arial" w:hAnsi="Arial" w:eastAsia="仿宋" w:cs="Arial"/>
          <w:sz w:val="24"/>
          <w:szCs w:val="24"/>
          <w:u w:val="single"/>
        </w:rPr>
        <w:t xml:space="preserve">    </w:t>
      </w:r>
      <w:r>
        <w:rPr>
          <w:rFonts w:ascii="Arial" w:hAnsi="Arial" w:eastAsia="仿宋" w:cs="Arial"/>
          <w:sz w:val="24"/>
          <w:szCs w:val="24"/>
        </w:rPr>
        <w:t>的中标通知书</w:t>
      </w:r>
      <w:r>
        <w:rPr>
          <w:rFonts w:hint="eastAsia" w:ascii="仿宋" w:hAnsi="仿宋" w:eastAsia="仿宋"/>
          <w:sz w:val="24"/>
          <w:szCs w:val="24"/>
        </w:rPr>
        <w:t xml:space="preserve">，买卖双方本着平等互利的原则，经友好协商，同意按如下条款签订本合同。  </w:t>
      </w:r>
    </w:p>
    <w:p w14:paraId="24F7B1D0">
      <w:pPr>
        <w:pStyle w:val="76"/>
        <w:snapToGrid w:val="0"/>
        <w:spacing w:line="240" w:lineRule="atLeast"/>
        <w:ind w:left="567" w:firstLine="0" w:firstLineChars="0"/>
        <w:contextualSpacing/>
        <w:jc w:val="center"/>
        <w:outlineLvl w:val="0"/>
        <w:rPr>
          <w:rFonts w:hint="eastAsia" w:ascii="仿宋" w:hAnsi="仿宋" w:eastAsia="仿宋"/>
          <w:b/>
          <w:sz w:val="24"/>
          <w:szCs w:val="24"/>
        </w:rPr>
      </w:pPr>
    </w:p>
    <w:p w14:paraId="4D6D2E96">
      <w:pPr>
        <w:pStyle w:val="76"/>
        <w:snapToGrid w:val="0"/>
        <w:spacing w:line="240" w:lineRule="atLeast"/>
        <w:ind w:left="567" w:firstLine="0" w:firstLineChars="0"/>
        <w:contextualSpacing/>
        <w:jc w:val="center"/>
        <w:outlineLvl w:val="0"/>
        <w:rPr>
          <w:rFonts w:hint="eastAsia" w:ascii="仿宋" w:hAnsi="仿宋" w:eastAsia="仿宋"/>
          <w:b/>
          <w:sz w:val="24"/>
          <w:szCs w:val="24"/>
        </w:rPr>
      </w:pPr>
      <w:r>
        <w:rPr>
          <w:rFonts w:hint="eastAsia" w:ascii="仿宋" w:hAnsi="仿宋" w:eastAsia="仿宋"/>
          <w:b/>
          <w:sz w:val="24"/>
          <w:szCs w:val="24"/>
        </w:rPr>
        <w:t>条款1定义</w:t>
      </w:r>
    </w:p>
    <w:p w14:paraId="70A108E8">
      <w:pPr>
        <w:pStyle w:val="76"/>
        <w:numPr>
          <w:ilvl w:val="0"/>
          <w:numId w:val="2"/>
        </w:numPr>
        <w:snapToGrid w:val="0"/>
        <w:spacing w:line="240" w:lineRule="atLeast"/>
        <w:ind w:left="567" w:hanging="567" w:firstLineChars="0"/>
        <w:contextualSpacing/>
        <w:rPr>
          <w:rFonts w:hint="eastAsia" w:ascii="仿宋" w:hAnsi="仿宋" w:eastAsia="仿宋"/>
          <w:sz w:val="24"/>
          <w:szCs w:val="24"/>
        </w:rPr>
      </w:pPr>
      <w:r>
        <w:rPr>
          <w:rFonts w:hint="eastAsia" w:ascii="仿宋" w:hAnsi="仿宋" w:eastAsia="仿宋"/>
          <w:sz w:val="24"/>
          <w:szCs w:val="24"/>
        </w:rPr>
        <w:t>“合同”指甲方和乙方（以下简称合同双方）已达成的协议，即由双方签订的合同中的文件，包括技术协议、所有的附件、附录和组成合同部分的所有其它文件。</w:t>
      </w:r>
    </w:p>
    <w:p w14:paraId="6CDF9301">
      <w:pPr>
        <w:pStyle w:val="76"/>
        <w:numPr>
          <w:ilvl w:val="0"/>
          <w:numId w:val="2"/>
        </w:numPr>
        <w:snapToGrid w:val="0"/>
        <w:spacing w:line="240" w:lineRule="atLeast"/>
        <w:ind w:left="567" w:hanging="567" w:firstLineChars="0"/>
        <w:contextualSpacing/>
        <w:jc w:val="left"/>
        <w:rPr>
          <w:rFonts w:hint="eastAsia" w:ascii="仿宋" w:hAnsi="仿宋" w:eastAsia="仿宋"/>
          <w:sz w:val="24"/>
          <w:szCs w:val="24"/>
        </w:rPr>
      </w:pPr>
      <w:r>
        <w:rPr>
          <w:rFonts w:hint="eastAsia" w:ascii="仿宋" w:hAnsi="仿宋" w:eastAsia="仿宋"/>
          <w:sz w:val="24"/>
          <w:szCs w:val="24"/>
        </w:rPr>
        <w:t>“合同价格”指合同规定，在乙方全面正确的履行合同义务时甲方应支付给乙方的款项。</w:t>
      </w:r>
    </w:p>
    <w:p w14:paraId="58178EC3">
      <w:pPr>
        <w:pStyle w:val="76"/>
        <w:numPr>
          <w:ilvl w:val="0"/>
          <w:numId w:val="2"/>
        </w:numPr>
        <w:snapToGrid w:val="0"/>
        <w:spacing w:line="240" w:lineRule="atLeast"/>
        <w:ind w:left="567" w:hanging="567" w:firstLineChars="0"/>
        <w:contextualSpacing/>
        <w:rPr>
          <w:rFonts w:hint="eastAsia" w:ascii="仿宋" w:hAnsi="仿宋" w:eastAsia="仿宋"/>
          <w:sz w:val="24"/>
          <w:szCs w:val="24"/>
        </w:rPr>
      </w:pPr>
      <w:r>
        <w:rPr>
          <w:rFonts w:hint="eastAsia" w:ascii="仿宋" w:hAnsi="仿宋" w:eastAsia="仿宋"/>
          <w:sz w:val="24"/>
          <w:szCs w:val="24"/>
        </w:rPr>
        <w:t>“设备”指乙方按合同要求，须向甲方提供的一切设备、机械、手册及其它技术资料和其它材料。</w:t>
      </w:r>
    </w:p>
    <w:p w14:paraId="1ACCC35B">
      <w:pPr>
        <w:pStyle w:val="76"/>
        <w:numPr>
          <w:ilvl w:val="0"/>
          <w:numId w:val="2"/>
        </w:numPr>
        <w:snapToGrid w:val="0"/>
        <w:spacing w:line="240" w:lineRule="atLeast"/>
        <w:ind w:left="567" w:hanging="567" w:firstLineChars="0"/>
        <w:contextualSpacing/>
        <w:rPr>
          <w:rFonts w:hint="eastAsia" w:ascii="仿宋" w:hAnsi="仿宋" w:eastAsia="仿宋"/>
          <w:sz w:val="24"/>
          <w:szCs w:val="24"/>
        </w:rPr>
      </w:pPr>
      <w:r>
        <w:rPr>
          <w:rFonts w:hint="eastAsia" w:ascii="仿宋" w:hAnsi="仿宋" w:eastAsia="仿宋"/>
          <w:sz w:val="24"/>
          <w:szCs w:val="24"/>
        </w:rPr>
        <w:t>“服务”指合同规定乙方须承担的安装、调试、技术协助、校准、培训以及其它类似的售后服务义务。</w:t>
      </w:r>
    </w:p>
    <w:p w14:paraId="3C6F3ED8">
      <w:pPr>
        <w:pStyle w:val="76"/>
        <w:numPr>
          <w:ilvl w:val="0"/>
          <w:numId w:val="2"/>
        </w:numPr>
        <w:snapToGrid w:val="0"/>
        <w:spacing w:line="240" w:lineRule="atLeast"/>
        <w:ind w:left="567" w:hanging="567" w:firstLineChars="0"/>
        <w:contextualSpacing/>
        <w:rPr>
          <w:rFonts w:hint="eastAsia" w:ascii="仿宋" w:hAnsi="仿宋" w:eastAsia="仿宋"/>
          <w:sz w:val="24"/>
          <w:szCs w:val="24"/>
        </w:rPr>
      </w:pPr>
      <w:r>
        <w:rPr>
          <w:rFonts w:hint="eastAsia" w:ascii="仿宋" w:hAnsi="仿宋" w:eastAsia="仿宋"/>
          <w:sz w:val="24"/>
          <w:szCs w:val="24"/>
        </w:rPr>
        <w:t>“现场”指将要进行设备安装和运转的地点，即：**********。</w:t>
      </w:r>
    </w:p>
    <w:p w14:paraId="12CAB492">
      <w:pPr>
        <w:pStyle w:val="76"/>
        <w:numPr>
          <w:ilvl w:val="0"/>
          <w:numId w:val="2"/>
        </w:numPr>
        <w:snapToGrid w:val="0"/>
        <w:spacing w:line="240" w:lineRule="atLeast"/>
        <w:ind w:left="567" w:hanging="567" w:firstLineChars="0"/>
        <w:contextualSpacing/>
        <w:rPr>
          <w:rFonts w:hint="eastAsia" w:ascii="仿宋" w:hAnsi="仿宋" w:eastAsia="仿宋"/>
          <w:sz w:val="24"/>
          <w:szCs w:val="24"/>
        </w:rPr>
      </w:pPr>
      <w:r>
        <w:rPr>
          <w:rFonts w:hint="eastAsia" w:ascii="仿宋" w:hAnsi="仿宋" w:eastAsia="仿宋"/>
          <w:sz w:val="24"/>
          <w:szCs w:val="24"/>
        </w:rPr>
        <w:t>“验收”指甲方依据合同所附技术协议的规定接受合同设备所依据的程序和条件。</w:t>
      </w:r>
    </w:p>
    <w:p w14:paraId="057DFF30">
      <w:pPr>
        <w:pStyle w:val="76"/>
        <w:snapToGrid w:val="0"/>
        <w:spacing w:line="240" w:lineRule="atLeast"/>
        <w:ind w:left="567" w:firstLine="0" w:firstLineChars="0"/>
        <w:contextualSpacing/>
        <w:jc w:val="center"/>
        <w:outlineLvl w:val="0"/>
        <w:rPr>
          <w:rFonts w:hint="eastAsia" w:ascii="仿宋" w:hAnsi="仿宋" w:eastAsia="仿宋"/>
          <w:b/>
          <w:sz w:val="24"/>
          <w:szCs w:val="24"/>
        </w:rPr>
      </w:pPr>
    </w:p>
    <w:p w14:paraId="4DB3861D">
      <w:pPr>
        <w:pStyle w:val="76"/>
        <w:snapToGrid w:val="0"/>
        <w:spacing w:line="240" w:lineRule="atLeast"/>
        <w:ind w:left="567" w:firstLine="0" w:firstLineChars="0"/>
        <w:contextualSpacing/>
        <w:jc w:val="center"/>
        <w:outlineLvl w:val="0"/>
        <w:rPr>
          <w:rFonts w:hint="eastAsia" w:ascii="仿宋" w:hAnsi="仿宋" w:eastAsia="仿宋"/>
          <w:b/>
          <w:sz w:val="24"/>
          <w:szCs w:val="24"/>
        </w:rPr>
      </w:pPr>
      <w:r>
        <w:rPr>
          <w:rFonts w:hint="eastAsia" w:ascii="仿宋" w:hAnsi="仿宋" w:eastAsia="仿宋"/>
          <w:b/>
          <w:sz w:val="24"/>
          <w:szCs w:val="24"/>
        </w:rPr>
        <w:t>条款2供货范围</w:t>
      </w:r>
    </w:p>
    <w:p w14:paraId="7B2CF0C8">
      <w:pPr>
        <w:pStyle w:val="76"/>
        <w:numPr>
          <w:ilvl w:val="0"/>
          <w:numId w:val="3"/>
        </w:numPr>
        <w:snapToGrid w:val="0"/>
        <w:spacing w:line="240" w:lineRule="atLeast"/>
        <w:ind w:left="567" w:hanging="567" w:firstLineChars="0"/>
        <w:contextualSpacing/>
        <w:rPr>
          <w:rFonts w:hint="eastAsia" w:ascii="仿宋" w:hAnsi="仿宋" w:eastAsia="仿宋"/>
          <w:sz w:val="24"/>
          <w:szCs w:val="24"/>
        </w:rPr>
      </w:pPr>
      <w:r>
        <w:rPr>
          <w:rFonts w:hint="eastAsia" w:ascii="仿宋" w:hAnsi="仿宋" w:eastAsia="仿宋"/>
          <w:sz w:val="24"/>
          <w:szCs w:val="24"/>
        </w:rPr>
        <w:t>标的物：**************。</w:t>
      </w:r>
    </w:p>
    <w:p w14:paraId="061E183A">
      <w:pPr>
        <w:pStyle w:val="76"/>
        <w:numPr>
          <w:ilvl w:val="0"/>
          <w:numId w:val="3"/>
        </w:numPr>
        <w:snapToGrid w:val="0"/>
        <w:spacing w:line="240" w:lineRule="atLeast"/>
        <w:ind w:left="567" w:hanging="567" w:firstLineChars="0"/>
        <w:contextualSpacing/>
        <w:rPr>
          <w:rFonts w:hint="eastAsia" w:ascii="仿宋" w:hAnsi="仿宋" w:eastAsia="仿宋"/>
          <w:sz w:val="24"/>
          <w:szCs w:val="24"/>
        </w:rPr>
      </w:pPr>
      <w:r>
        <w:rPr>
          <w:rFonts w:hint="eastAsia" w:ascii="仿宋" w:hAnsi="仿宋" w:eastAsia="仿宋"/>
          <w:sz w:val="24"/>
          <w:szCs w:val="24"/>
        </w:rPr>
        <w:t>供货范围：详见技术协议。</w:t>
      </w:r>
    </w:p>
    <w:p w14:paraId="4B942E61">
      <w:pPr>
        <w:pStyle w:val="76"/>
        <w:numPr>
          <w:ilvl w:val="0"/>
          <w:numId w:val="3"/>
        </w:numPr>
        <w:snapToGrid w:val="0"/>
        <w:spacing w:line="240" w:lineRule="atLeast"/>
        <w:ind w:left="567" w:hanging="567" w:firstLineChars="0"/>
        <w:contextualSpacing/>
        <w:rPr>
          <w:rFonts w:hint="eastAsia" w:ascii="仿宋" w:hAnsi="仿宋" w:eastAsia="仿宋"/>
          <w:sz w:val="24"/>
          <w:szCs w:val="24"/>
        </w:rPr>
      </w:pPr>
      <w:r>
        <w:rPr>
          <w:rFonts w:hint="eastAsia" w:ascii="仿宋" w:hAnsi="仿宋" w:eastAsia="仿宋"/>
          <w:sz w:val="24"/>
          <w:szCs w:val="24"/>
        </w:rPr>
        <w:t>数量：详见技术协议。</w:t>
      </w:r>
    </w:p>
    <w:p w14:paraId="0EC419C1">
      <w:pPr>
        <w:pStyle w:val="76"/>
        <w:numPr>
          <w:ilvl w:val="0"/>
          <w:numId w:val="3"/>
        </w:numPr>
        <w:snapToGrid w:val="0"/>
        <w:spacing w:line="240" w:lineRule="atLeast"/>
        <w:ind w:left="567" w:hanging="567" w:firstLineChars="0"/>
        <w:contextualSpacing/>
        <w:rPr>
          <w:rFonts w:hint="eastAsia" w:ascii="仿宋" w:hAnsi="仿宋" w:eastAsia="仿宋"/>
          <w:sz w:val="24"/>
          <w:szCs w:val="24"/>
        </w:rPr>
      </w:pPr>
      <w:r>
        <w:rPr>
          <w:rFonts w:hint="eastAsia" w:ascii="仿宋" w:hAnsi="仿宋" w:eastAsia="仿宋"/>
          <w:sz w:val="24"/>
          <w:szCs w:val="24"/>
        </w:rPr>
        <w:t>合同供货范围虽然在合同中有表述，但在执行过程中如发现有任何漏项和缺陷，在合同中并未列入而且确实是供货范围内应该有的并且是为了满足合同技术协议对合同设备的性能保证要求所必须的，是国家强制性要求必须的，均应由乙方负责将所缺的设备补上，所发生的费用由乙方负担。</w:t>
      </w:r>
    </w:p>
    <w:p w14:paraId="141CC4C7">
      <w:pPr>
        <w:pStyle w:val="76"/>
        <w:snapToGrid w:val="0"/>
        <w:spacing w:line="240" w:lineRule="atLeast"/>
        <w:ind w:left="567" w:firstLine="0" w:firstLineChars="0"/>
        <w:contextualSpacing/>
        <w:jc w:val="center"/>
        <w:outlineLvl w:val="0"/>
        <w:rPr>
          <w:rFonts w:hint="eastAsia" w:ascii="仿宋" w:hAnsi="仿宋" w:eastAsia="仿宋"/>
          <w:b/>
          <w:sz w:val="24"/>
          <w:szCs w:val="24"/>
        </w:rPr>
      </w:pPr>
    </w:p>
    <w:p w14:paraId="2EB5BA98">
      <w:pPr>
        <w:pStyle w:val="76"/>
        <w:snapToGrid w:val="0"/>
        <w:spacing w:line="240" w:lineRule="atLeast"/>
        <w:ind w:left="567" w:firstLine="0" w:firstLineChars="0"/>
        <w:contextualSpacing/>
        <w:jc w:val="center"/>
        <w:outlineLvl w:val="0"/>
        <w:rPr>
          <w:rFonts w:hint="eastAsia" w:ascii="仿宋" w:hAnsi="仿宋" w:eastAsia="仿宋"/>
          <w:b/>
          <w:sz w:val="24"/>
          <w:szCs w:val="24"/>
        </w:rPr>
      </w:pPr>
      <w:r>
        <w:rPr>
          <w:rFonts w:hint="eastAsia" w:ascii="仿宋" w:hAnsi="仿宋" w:eastAsia="仿宋"/>
          <w:b/>
          <w:sz w:val="24"/>
          <w:szCs w:val="24"/>
        </w:rPr>
        <w:t>条款3价格（</w:t>
      </w:r>
      <w:r>
        <w:rPr>
          <w:rFonts w:hint="eastAsia" w:ascii="仿宋" w:hAnsi="仿宋" w:eastAsia="仿宋"/>
          <w:b/>
          <w:color w:val="C00000"/>
          <w:sz w:val="28"/>
          <w:szCs w:val="28"/>
        </w:rPr>
        <w:t>报价格式以后附表为准</w:t>
      </w:r>
      <w:r>
        <w:rPr>
          <w:rFonts w:hint="eastAsia" w:ascii="仿宋" w:hAnsi="仿宋" w:eastAsia="仿宋"/>
          <w:b/>
          <w:sz w:val="24"/>
          <w:szCs w:val="24"/>
        </w:rPr>
        <w:t>）</w:t>
      </w:r>
    </w:p>
    <w:p w14:paraId="0CC42AD2">
      <w:pPr>
        <w:pStyle w:val="76"/>
        <w:numPr>
          <w:ilvl w:val="0"/>
          <w:numId w:val="4"/>
        </w:numPr>
        <w:spacing w:line="240" w:lineRule="atLeast"/>
        <w:ind w:left="567" w:hanging="567" w:firstLineChars="0"/>
        <w:rPr>
          <w:rFonts w:hint="eastAsia" w:asciiTheme="minorEastAsia" w:hAnsiTheme="minorEastAsia"/>
          <w:sz w:val="24"/>
          <w:szCs w:val="24"/>
        </w:rPr>
      </w:pPr>
      <w:r>
        <w:rPr>
          <w:rFonts w:hint="eastAsia" w:ascii="仿宋" w:hAnsi="仿宋" w:eastAsia="仿宋"/>
          <w:sz w:val="24"/>
          <w:szCs w:val="24"/>
        </w:rPr>
        <w:t>设备名称、型号及价格</w:t>
      </w:r>
      <w:r>
        <w:rPr>
          <w:rFonts w:hint="eastAsia" w:asciiTheme="minorEastAsia" w:hAnsiTheme="minorEastAsia"/>
          <w:sz w:val="24"/>
          <w:szCs w:val="24"/>
        </w:rPr>
        <w:t>：</w:t>
      </w:r>
    </w:p>
    <w:tbl>
      <w:tblPr>
        <w:tblStyle w:val="49"/>
        <w:tblW w:w="9027" w:type="dxa"/>
        <w:jc w:val="center"/>
        <w:tblLayout w:type="autofit"/>
        <w:tblCellMar>
          <w:top w:w="0" w:type="dxa"/>
          <w:left w:w="108" w:type="dxa"/>
          <w:bottom w:w="0" w:type="dxa"/>
          <w:right w:w="108" w:type="dxa"/>
        </w:tblCellMar>
      </w:tblPr>
      <w:tblGrid>
        <w:gridCol w:w="835"/>
        <w:gridCol w:w="3129"/>
        <w:gridCol w:w="709"/>
        <w:gridCol w:w="709"/>
        <w:gridCol w:w="1143"/>
        <w:gridCol w:w="1143"/>
        <w:gridCol w:w="1359"/>
      </w:tblGrid>
      <w:tr w14:paraId="368236AE">
        <w:tblPrEx>
          <w:tblCellMar>
            <w:top w:w="0" w:type="dxa"/>
            <w:left w:w="108" w:type="dxa"/>
            <w:bottom w:w="0" w:type="dxa"/>
            <w:right w:w="108" w:type="dxa"/>
          </w:tblCellMar>
        </w:tblPrEx>
        <w:trPr>
          <w:trHeight w:val="416" w:hRule="atLeast"/>
          <w:jc w:val="center"/>
        </w:trPr>
        <w:tc>
          <w:tcPr>
            <w:tcW w:w="9027" w:type="dxa"/>
            <w:gridSpan w:val="7"/>
            <w:tcBorders>
              <w:top w:val="single" w:color="auto" w:sz="4" w:space="0"/>
              <w:left w:val="single" w:color="auto" w:sz="4" w:space="0"/>
              <w:bottom w:val="single" w:color="auto" w:sz="4" w:space="0"/>
              <w:right w:val="single" w:color="auto" w:sz="4" w:space="0"/>
            </w:tcBorders>
            <w:shd w:val="clear" w:color="000000" w:fill="FFFFFF"/>
            <w:noWrap/>
            <w:vAlign w:val="center"/>
          </w:tcPr>
          <w:p w14:paraId="5CAB6658">
            <w:pPr>
              <w:widowControl/>
              <w:spacing w:line="240" w:lineRule="atLeast"/>
              <w:contextualSpacing/>
              <w:jc w:val="center"/>
              <w:rPr>
                <w:rFonts w:hint="eastAsia" w:ascii="黑体" w:hAnsi="黑体" w:eastAsia="黑体" w:cs="宋体"/>
                <w:kern w:val="0"/>
                <w:sz w:val="24"/>
                <w:szCs w:val="24"/>
              </w:rPr>
            </w:pPr>
            <w:r>
              <w:rPr>
                <w:rFonts w:hint="eastAsia" w:ascii="黑体" w:hAnsi="黑体" w:eastAsia="黑体" w:cs="宋体"/>
                <w:kern w:val="0"/>
                <w:sz w:val="24"/>
                <w:szCs w:val="24"/>
              </w:rPr>
              <w:t xml:space="preserve">************项价格表  </w:t>
            </w:r>
          </w:p>
        </w:tc>
      </w:tr>
      <w:tr w14:paraId="63F80E18">
        <w:tblPrEx>
          <w:tblCellMar>
            <w:top w:w="0" w:type="dxa"/>
            <w:left w:w="108" w:type="dxa"/>
            <w:bottom w:w="0" w:type="dxa"/>
            <w:right w:w="108" w:type="dxa"/>
          </w:tblCellMar>
        </w:tblPrEx>
        <w:trPr>
          <w:trHeight w:val="480" w:hRule="atLeast"/>
          <w:jc w:val="center"/>
        </w:trPr>
        <w:tc>
          <w:tcPr>
            <w:tcW w:w="835" w:type="dxa"/>
            <w:tcBorders>
              <w:top w:val="nil"/>
              <w:left w:val="single" w:color="auto" w:sz="4" w:space="0"/>
              <w:bottom w:val="single" w:color="auto" w:sz="4" w:space="0"/>
              <w:right w:val="single" w:color="auto" w:sz="4" w:space="0"/>
            </w:tcBorders>
            <w:shd w:val="clear" w:color="auto" w:fill="auto"/>
            <w:noWrap/>
            <w:vAlign w:val="center"/>
          </w:tcPr>
          <w:p w14:paraId="3C787C97">
            <w:pPr>
              <w:widowControl/>
              <w:spacing w:line="240" w:lineRule="atLeast"/>
              <w:contextualSpacing/>
              <w:jc w:val="center"/>
              <w:rPr>
                <w:rFonts w:hint="eastAsia" w:ascii="黑体" w:hAnsi="黑体" w:eastAsia="黑体" w:cs="宋体"/>
                <w:kern w:val="0"/>
                <w:sz w:val="20"/>
              </w:rPr>
            </w:pPr>
            <w:r>
              <w:rPr>
                <w:rFonts w:hint="eastAsia" w:ascii="黑体" w:hAnsi="黑体" w:eastAsia="黑体" w:cs="宋体"/>
                <w:kern w:val="0"/>
                <w:sz w:val="20"/>
              </w:rPr>
              <w:t>序号</w:t>
            </w:r>
          </w:p>
        </w:tc>
        <w:tc>
          <w:tcPr>
            <w:tcW w:w="3129" w:type="dxa"/>
            <w:tcBorders>
              <w:top w:val="nil"/>
              <w:left w:val="nil"/>
              <w:bottom w:val="single" w:color="auto" w:sz="4" w:space="0"/>
              <w:right w:val="single" w:color="auto" w:sz="4" w:space="0"/>
            </w:tcBorders>
            <w:shd w:val="clear" w:color="auto" w:fill="auto"/>
            <w:noWrap/>
            <w:vAlign w:val="center"/>
          </w:tcPr>
          <w:p w14:paraId="75507C5A">
            <w:pPr>
              <w:widowControl/>
              <w:spacing w:line="240" w:lineRule="atLeast"/>
              <w:contextualSpacing/>
              <w:jc w:val="center"/>
              <w:rPr>
                <w:rFonts w:hint="eastAsia" w:ascii="黑体" w:hAnsi="黑体" w:eastAsia="黑体" w:cs="宋体"/>
                <w:kern w:val="0"/>
                <w:sz w:val="20"/>
              </w:rPr>
            </w:pPr>
            <w:r>
              <w:rPr>
                <w:rFonts w:hint="eastAsia" w:ascii="黑体" w:hAnsi="黑体" w:eastAsia="黑体" w:cs="宋体"/>
                <w:kern w:val="0"/>
                <w:sz w:val="20"/>
              </w:rPr>
              <w:t>设备名称</w:t>
            </w:r>
          </w:p>
        </w:tc>
        <w:tc>
          <w:tcPr>
            <w:tcW w:w="709" w:type="dxa"/>
            <w:tcBorders>
              <w:top w:val="nil"/>
              <w:left w:val="nil"/>
              <w:bottom w:val="single" w:color="auto" w:sz="4" w:space="0"/>
              <w:right w:val="single" w:color="auto" w:sz="4" w:space="0"/>
            </w:tcBorders>
            <w:shd w:val="clear" w:color="auto" w:fill="auto"/>
            <w:vAlign w:val="center"/>
          </w:tcPr>
          <w:p w14:paraId="2BBF7E2F">
            <w:pPr>
              <w:widowControl/>
              <w:spacing w:line="240" w:lineRule="atLeast"/>
              <w:contextualSpacing/>
              <w:jc w:val="center"/>
              <w:rPr>
                <w:rFonts w:hint="eastAsia" w:ascii="黑体" w:hAnsi="黑体" w:eastAsia="黑体" w:cs="宋体"/>
                <w:kern w:val="0"/>
                <w:sz w:val="20"/>
              </w:rPr>
            </w:pPr>
            <w:r>
              <w:rPr>
                <w:rFonts w:hint="eastAsia" w:ascii="黑体" w:hAnsi="黑体" w:eastAsia="黑体" w:cs="宋体"/>
                <w:kern w:val="0"/>
                <w:sz w:val="20"/>
              </w:rPr>
              <w:t>数量</w:t>
            </w:r>
          </w:p>
        </w:tc>
        <w:tc>
          <w:tcPr>
            <w:tcW w:w="709" w:type="dxa"/>
            <w:tcBorders>
              <w:top w:val="nil"/>
              <w:left w:val="nil"/>
              <w:bottom w:val="single" w:color="auto" w:sz="4" w:space="0"/>
              <w:right w:val="single" w:color="auto" w:sz="4" w:space="0"/>
            </w:tcBorders>
            <w:shd w:val="clear" w:color="auto" w:fill="auto"/>
            <w:vAlign w:val="center"/>
          </w:tcPr>
          <w:p w14:paraId="6C58A3B8">
            <w:pPr>
              <w:widowControl/>
              <w:spacing w:line="240" w:lineRule="atLeast"/>
              <w:contextualSpacing/>
              <w:jc w:val="center"/>
              <w:rPr>
                <w:rFonts w:hint="eastAsia" w:ascii="黑体" w:hAnsi="黑体" w:eastAsia="黑体" w:cs="宋体"/>
                <w:kern w:val="0"/>
                <w:sz w:val="20"/>
              </w:rPr>
            </w:pPr>
            <w:r>
              <w:rPr>
                <w:rFonts w:hint="eastAsia" w:ascii="黑体" w:hAnsi="黑体" w:eastAsia="黑体" w:cs="宋体"/>
                <w:kern w:val="0"/>
                <w:sz w:val="20"/>
              </w:rPr>
              <w:t>单位</w:t>
            </w:r>
          </w:p>
        </w:tc>
        <w:tc>
          <w:tcPr>
            <w:tcW w:w="1143" w:type="dxa"/>
            <w:tcBorders>
              <w:top w:val="nil"/>
              <w:left w:val="nil"/>
              <w:bottom w:val="single" w:color="auto" w:sz="4" w:space="0"/>
              <w:right w:val="single" w:color="auto" w:sz="4" w:space="0"/>
            </w:tcBorders>
            <w:shd w:val="clear" w:color="auto" w:fill="auto"/>
            <w:vAlign w:val="center"/>
          </w:tcPr>
          <w:p w14:paraId="1F8DB119">
            <w:pPr>
              <w:widowControl/>
              <w:spacing w:line="240" w:lineRule="atLeast"/>
              <w:contextualSpacing/>
              <w:jc w:val="center"/>
              <w:rPr>
                <w:rFonts w:hint="eastAsia" w:ascii="黑体" w:hAnsi="黑体" w:eastAsia="黑体" w:cs="宋体"/>
                <w:kern w:val="0"/>
                <w:sz w:val="20"/>
              </w:rPr>
            </w:pPr>
            <w:r>
              <w:rPr>
                <w:rFonts w:hint="eastAsia" w:ascii="黑体" w:hAnsi="黑体" w:eastAsia="黑体" w:cs="宋体"/>
                <w:kern w:val="0"/>
                <w:sz w:val="20"/>
              </w:rPr>
              <w:t>单价</w:t>
            </w:r>
            <w:r>
              <w:rPr>
                <w:rFonts w:hint="eastAsia" w:ascii="黑体" w:hAnsi="黑体" w:eastAsia="黑体" w:cs="宋体"/>
                <w:kern w:val="0"/>
                <w:sz w:val="20"/>
              </w:rPr>
              <w:br w:type="textWrapping"/>
            </w:r>
            <w:r>
              <w:rPr>
                <w:rFonts w:hint="eastAsia" w:ascii="黑体" w:hAnsi="黑体" w:eastAsia="黑体" w:cs="宋体"/>
                <w:kern w:val="0"/>
                <w:sz w:val="20"/>
              </w:rPr>
              <w:t>（万元）</w:t>
            </w:r>
          </w:p>
        </w:tc>
        <w:tc>
          <w:tcPr>
            <w:tcW w:w="1143" w:type="dxa"/>
            <w:tcBorders>
              <w:top w:val="nil"/>
              <w:left w:val="nil"/>
              <w:bottom w:val="single" w:color="auto" w:sz="4" w:space="0"/>
              <w:right w:val="single" w:color="auto" w:sz="4" w:space="0"/>
            </w:tcBorders>
            <w:shd w:val="clear" w:color="auto" w:fill="auto"/>
            <w:vAlign w:val="center"/>
          </w:tcPr>
          <w:p w14:paraId="19CFCB40">
            <w:pPr>
              <w:widowControl/>
              <w:spacing w:line="240" w:lineRule="atLeast"/>
              <w:contextualSpacing/>
              <w:jc w:val="center"/>
              <w:rPr>
                <w:rFonts w:hint="eastAsia" w:ascii="黑体" w:hAnsi="黑体" w:eastAsia="黑体" w:cs="宋体"/>
                <w:kern w:val="0"/>
                <w:sz w:val="20"/>
              </w:rPr>
            </w:pPr>
            <w:r>
              <w:rPr>
                <w:rFonts w:hint="eastAsia" w:ascii="黑体" w:hAnsi="黑体" w:eastAsia="黑体" w:cs="宋体"/>
                <w:kern w:val="0"/>
                <w:sz w:val="20"/>
              </w:rPr>
              <w:t>总价</w:t>
            </w:r>
            <w:r>
              <w:rPr>
                <w:rFonts w:hint="eastAsia" w:ascii="黑体" w:hAnsi="黑体" w:eastAsia="黑体" w:cs="宋体"/>
                <w:kern w:val="0"/>
                <w:sz w:val="20"/>
              </w:rPr>
              <w:br w:type="textWrapping"/>
            </w:r>
            <w:r>
              <w:rPr>
                <w:rFonts w:hint="eastAsia" w:ascii="黑体" w:hAnsi="黑体" w:eastAsia="黑体" w:cs="宋体"/>
                <w:kern w:val="0"/>
                <w:sz w:val="20"/>
              </w:rPr>
              <w:t>（万元）</w:t>
            </w:r>
          </w:p>
        </w:tc>
        <w:tc>
          <w:tcPr>
            <w:tcW w:w="1359" w:type="dxa"/>
            <w:tcBorders>
              <w:top w:val="nil"/>
              <w:left w:val="nil"/>
              <w:bottom w:val="single" w:color="auto" w:sz="4" w:space="0"/>
              <w:right w:val="single" w:color="auto" w:sz="4" w:space="0"/>
            </w:tcBorders>
            <w:shd w:val="clear" w:color="auto" w:fill="auto"/>
            <w:noWrap/>
            <w:vAlign w:val="center"/>
          </w:tcPr>
          <w:p w14:paraId="53B50E72">
            <w:pPr>
              <w:widowControl/>
              <w:spacing w:line="240" w:lineRule="atLeast"/>
              <w:contextualSpacing/>
              <w:jc w:val="center"/>
              <w:rPr>
                <w:rFonts w:hint="eastAsia" w:ascii="黑体" w:hAnsi="黑体" w:eastAsia="黑体" w:cs="宋体"/>
                <w:kern w:val="0"/>
                <w:sz w:val="20"/>
              </w:rPr>
            </w:pPr>
            <w:r>
              <w:rPr>
                <w:rFonts w:hint="eastAsia" w:ascii="黑体" w:hAnsi="黑体" w:eastAsia="黑体" w:cs="宋体"/>
                <w:kern w:val="0"/>
                <w:sz w:val="20"/>
              </w:rPr>
              <w:t>备注</w:t>
            </w:r>
          </w:p>
        </w:tc>
      </w:tr>
      <w:tr w14:paraId="7DB44DA4">
        <w:tblPrEx>
          <w:tblCellMar>
            <w:top w:w="0" w:type="dxa"/>
            <w:left w:w="108" w:type="dxa"/>
            <w:bottom w:w="0" w:type="dxa"/>
            <w:right w:w="108" w:type="dxa"/>
          </w:tblCellMar>
        </w:tblPrEx>
        <w:trPr>
          <w:trHeight w:val="300" w:hRule="atLeast"/>
          <w:jc w:val="center"/>
        </w:trPr>
        <w:tc>
          <w:tcPr>
            <w:tcW w:w="835" w:type="dxa"/>
            <w:tcBorders>
              <w:top w:val="nil"/>
              <w:left w:val="single" w:color="auto" w:sz="4" w:space="0"/>
              <w:bottom w:val="single" w:color="auto" w:sz="4" w:space="0"/>
              <w:right w:val="single" w:color="auto" w:sz="4" w:space="0"/>
            </w:tcBorders>
            <w:shd w:val="clear" w:color="auto" w:fill="auto"/>
            <w:noWrap/>
            <w:vAlign w:val="bottom"/>
          </w:tcPr>
          <w:p w14:paraId="3E419106">
            <w:pPr>
              <w:widowControl/>
              <w:spacing w:line="240" w:lineRule="atLeast"/>
              <w:contextualSpacing/>
              <w:jc w:val="center"/>
              <w:rPr>
                <w:rFonts w:hint="eastAsia" w:ascii="黑体" w:hAnsi="黑体" w:eastAsia="黑体" w:cs="宋体"/>
                <w:kern w:val="0"/>
                <w:sz w:val="20"/>
              </w:rPr>
            </w:pPr>
            <w:r>
              <w:rPr>
                <w:rFonts w:hint="eastAsia" w:ascii="黑体" w:hAnsi="黑体" w:eastAsia="黑体" w:cs="宋体"/>
                <w:kern w:val="0"/>
                <w:sz w:val="20"/>
              </w:rPr>
              <w:t>1</w:t>
            </w:r>
          </w:p>
        </w:tc>
        <w:tc>
          <w:tcPr>
            <w:tcW w:w="3129" w:type="dxa"/>
            <w:tcBorders>
              <w:top w:val="nil"/>
              <w:left w:val="nil"/>
              <w:bottom w:val="single" w:color="auto" w:sz="4" w:space="0"/>
              <w:right w:val="single" w:color="auto" w:sz="4" w:space="0"/>
            </w:tcBorders>
            <w:shd w:val="clear" w:color="auto" w:fill="auto"/>
            <w:noWrap/>
            <w:vAlign w:val="bottom"/>
          </w:tcPr>
          <w:p w14:paraId="74657901">
            <w:pPr>
              <w:widowControl/>
              <w:spacing w:line="240" w:lineRule="atLeast"/>
              <w:contextualSpacing/>
              <w:jc w:val="left"/>
              <w:rPr>
                <w:rFonts w:hint="eastAsia" w:ascii="黑体" w:hAnsi="黑体" w:eastAsia="黑体" w:cs="宋体"/>
                <w:kern w:val="0"/>
                <w:sz w:val="20"/>
              </w:rPr>
            </w:pPr>
          </w:p>
        </w:tc>
        <w:tc>
          <w:tcPr>
            <w:tcW w:w="709" w:type="dxa"/>
            <w:tcBorders>
              <w:top w:val="nil"/>
              <w:left w:val="nil"/>
              <w:bottom w:val="single" w:color="auto" w:sz="4" w:space="0"/>
              <w:right w:val="single" w:color="auto" w:sz="4" w:space="0"/>
            </w:tcBorders>
            <w:shd w:val="clear" w:color="auto" w:fill="auto"/>
            <w:noWrap/>
            <w:vAlign w:val="center"/>
          </w:tcPr>
          <w:p w14:paraId="73E015CB">
            <w:pPr>
              <w:widowControl/>
              <w:spacing w:line="240" w:lineRule="atLeast"/>
              <w:contextualSpacing/>
              <w:jc w:val="center"/>
              <w:rPr>
                <w:rFonts w:hint="eastAsia" w:ascii="黑体" w:hAnsi="黑体" w:eastAsia="黑体" w:cs="宋体"/>
                <w:kern w:val="0"/>
                <w:sz w:val="20"/>
              </w:rPr>
            </w:pPr>
          </w:p>
        </w:tc>
        <w:tc>
          <w:tcPr>
            <w:tcW w:w="709" w:type="dxa"/>
            <w:tcBorders>
              <w:top w:val="nil"/>
              <w:left w:val="nil"/>
              <w:bottom w:val="single" w:color="auto" w:sz="4" w:space="0"/>
              <w:right w:val="single" w:color="auto" w:sz="4" w:space="0"/>
            </w:tcBorders>
            <w:shd w:val="clear" w:color="auto" w:fill="auto"/>
            <w:noWrap/>
            <w:vAlign w:val="center"/>
          </w:tcPr>
          <w:p w14:paraId="76B10574">
            <w:pPr>
              <w:widowControl/>
              <w:spacing w:line="240" w:lineRule="atLeast"/>
              <w:contextualSpacing/>
              <w:jc w:val="center"/>
              <w:rPr>
                <w:rFonts w:hint="eastAsia" w:ascii="黑体" w:hAnsi="黑体" w:eastAsia="黑体" w:cs="宋体"/>
                <w:kern w:val="0"/>
                <w:sz w:val="20"/>
              </w:rPr>
            </w:pPr>
          </w:p>
        </w:tc>
        <w:tc>
          <w:tcPr>
            <w:tcW w:w="1143" w:type="dxa"/>
            <w:tcBorders>
              <w:top w:val="nil"/>
              <w:left w:val="nil"/>
              <w:bottom w:val="single" w:color="auto" w:sz="4" w:space="0"/>
              <w:right w:val="single" w:color="auto" w:sz="4" w:space="0"/>
            </w:tcBorders>
            <w:shd w:val="clear" w:color="auto" w:fill="auto"/>
            <w:vAlign w:val="center"/>
          </w:tcPr>
          <w:p w14:paraId="002B24F6">
            <w:pPr>
              <w:widowControl/>
              <w:spacing w:line="240" w:lineRule="atLeast"/>
              <w:contextualSpacing/>
              <w:jc w:val="center"/>
              <w:rPr>
                <w:rFonts w:hint="eastAsia" w:ascii="黑体" w:hAnsi="黑体" w:eastAsia="黑体" w:cs="宋体"/>
                <w:kern w:val="0"/>
                <w:sz w:val="20"/>
              </w:rPr>
            </w:pPr>
          </w:p>
        </w:tc>
        <w:tc>
          <w:tcPr>
            <w:tcW w:w="1143" w:type="dxa"/>
            <w:tcBorders>
              <w:top w:val="nil"/>
              <w:left w:val="nil"/>
              <w:bottom w:val="single" w:color="auto" w:sz="4" w:space="0"/>
              <w:right w:val="single" w:color="auto" w:sz="4" w:space="0"/>
            </w:tcBorders>
            <w:shd w:val="clear" w:color="auto" w:fill="auto"/>
            <w:noWrap/>
            <w:vAlign w:val="center"/>
          </w:tcPr>
          <w:p w14:paraId="1235A18D">
            <w:pPr>
              <w:widowControl/>
              <w:spacing w:line="240" w:lineRule="atLeast"/>
              <w:contextualSpacing/>
              <w:jc w:val="center"/>
              <w:rPr>
                <w:rFonts w:hint="eastAsia" w:ascii="黑体" w:hAnsi="黑体" w:eastAsia="黑体" w:cs="宋体"/>
                <w:kern w:val="0"/>
                <w:sz w:val="20"/>
              </w:rPr>
            </w:pPr>
          </w:p>
        </w:tc>
        <w:tc>
          <w:tcPr>
            <w:tcW w:w="1359" w:type="dxa"/>
            <w:tcBorders>
              <w:top w:val="nil"/>
              <w:left w:val="nil"/>
              <w:bottom w:val="single" w:color="auto" w:sz="4" w:space="0"/>
              <w:right w:val="single" w:color="auto" w:sz="4" w:space="0"/>
            </w:tcBorders>
            <w:shd w:val="clear" w:color="auto" w:fill="auto"/>
            <w:vAlign w:val="center"/>
          </w:tcPr>
          <w:p w14:paraId="2E8349D5">
            <w:pPr>
              <w:widowControl/>
              <w:spacing w:line="240" w:lineRule="atLeast"/>
              <w:contextualSpacing/>
              <w:jc w:val="left"/>
              <w:rPr>
                <w:rFonts w:hint="eastAsia" w:ascii="黑体" w:hAnsi="黑体" w:eastAsia="黑体" w:cs="宋体"/>
                <w:kern w:val="0"/>
                <w:sz w:val="20"/>
              </w:rPr>
            </w:pPr>
            <w:r>
              <w:rPr>
                <w:rFonts w:hint="eastAsia" w:ascii="黑体" w:hAnsi="黑体" w:eastAsia="黑体" w:cs="宋体"/>
                <w:kern w:val="0"/>
                <w:sz w:val="20"/>
              </w:rPr>
              <w:t>　</w:t>
            </w:r>
          </w:p>
        </w:tc>
      </w:tr>
      <w:tr w14:paraId="65AED49A">
        <w:tblPrEx>
          <w:tblCellMar>
            <w:top w:w="0" w:type="dxa"/>
            <w:left w:w="108" w:type="dxa"/>
            <w:bottom w:w="0" w:type="dxa"/>
            <w:right w:w="108" w:type="dxa"/>
          </w:tblCellMar>
        </w:tblPrEx>
        <w:trPr>
          <w:trHeight w:val="300" w:hRule="atLeast"/>
          <w:jc w:val="center"/>
        </w:trPr>
        <w:tc>
          <w:tcPr>
            <w:tcW w:w="835" w:type="dxa"/>
            <w:tcBorders>
              <w:top w:val="nil"/>
              <w:left w:val="single" w:color="auto" w:sz="4" w:space="0"/>
              <w:bottom w:val="single" w:color="auto" w:sz="4" w:space="0"/>
              <w:right w:val="single" w:color="auto" w:sz="4" w:space="0"/>
            </w:tcBorders>
            <w:shd w:val="clear" w:color="auto" w:fill="auto"/>
            <w:noWrap/>
            <w:vAlign w:val="bottom"/>
          </w:tcPr>
          <w:p w14:paraId="09139A1F">
            <w:pPr>
              <w:widowControl/>
              <w:spacing w:line="240" w:lineRule="atLeast"/>
              <w:contextualSpacing/>
              <w:jc w:val="center"/>
              <w:rPr>
                <w:rFonts w:hint="eastAsia" w:ascii="黑体" w:hAnsi="黑体" w:eastAsia="黑体" w:cs="宋体"/>
                <w:kern w:val="0"/>
                <w:sz w:val="20"/>
              </w:rPr>
            </w:pPr>
            <w:r>
              <w:rPr>
                <w:rFonts w:hint="eastAsia" w:ascii="黑体" w:hAnsi="黑体" w:eastAsia="黑体" w:cs="宋体"/>
                <w:kern w:val="0"/>
                <w:sz w:val="20"/>
              </w:rPr>
              <w:t>1.1</w:t>
            </w:r>
          </w:p>
        </w:tc>
        <w:tc>
          <w:tcPr>
            <w:tcW w:w="3129" w:type="dxa"/>
            <w:tcBorders>
              <w:top w:val="nil"/>
              <w:left w:val="nil"/>
              <w:bottom w:val="single" w:color="auto" w:sz="4" w:space="0"/>
              <w:right w:val="single" w:color="auto" w:sz="4" w:space="0"/>
            </w:tcBorders>
            <w:shd w:val="clear" w:color="auto" w:fill="auto"/>
            <w:noWrap/>
            <w:vAlign w:val="bottom"/>
          </w:tcPr>
          <w:p w14:paraId="500C4F62">
            <w:pPr>
              <w:widowControl/>
              <w:spacing w:line="240" w:lineRule="atLeast"/>
              <w:contextualSpacing/>
              <w:jc w:val="left"/>
              <w:rPr>
                <w:rFonts w:hint="eastAsia" w:ascii="黑体" w:hAnsi="黑体" w:eastAsia="黑体" w:cs="宋体"/>
                <w:kern w:val="0"/>
                <w:sz w:val="20"/>
              </w:rPr>
            </w:pPr>
          </w:p>
        </w:tc>
        <w:tc>
          <w:tcPr>
            <w:tcW w:w="709" w:type="dxa"/>
            <w:tcBorders>
              <w:top w:val="nil"/>
              <w:left w:val="nil"/>
              <w:bottom w:val="single" w:color="auto" w:sz="4" w:space="0"/>
              <w:right w:val="single" w:color="auto" w:sz="4" w:space="0"/>
            </w:tcBorders>
            <w:shd w:val="clear" w:color="auto" w:fill="auto"/>
            <w:noWrap/>
            <w:vAlign w:val="center"/>
          </w:tcPr>
          <w:p w14:paraId="034E3E51">
            <w:pPr>
              <w:widowControl/>
              <w:spacing w:line="240" w:lineRule="atLeast"/>
              <w:contextualSpacing/>
              <w:jc w:val="center"/>
              <w:rPr>
                <w:rFonts w:hint="eastAsia" w:ascii="黑体" w:hAnsi="黑体" w:eastAsia="黑体" w:cs="宋体"/>
                <w:kern w:val="0"/>
                <w:sz w:val="20"/>
              </w:rPr>
            </w:pPr>
          </w:p>
        </w:tc>
        <w:tc>
          <w:tcPr>
            <w:tcW w:w="709" w:type="dxa"/>
            <w:tcBorders>
              <w:top w:val="nil"/>
              <w:left w:val="nil"/>
              <w:bottom w:val="single" w:color="auto" w:sz="4" w:space="0"/>
              <w:right w:val="single" w:color="auto" w:sz="4" w:space="0"/>
            </w:tcBorders>
            <w:shd w:val="clear" w:color="auto" w:fill="auto"/>
            <w:noWrap/>
            <w:vAlign w:val="center"/>
          </w:tcPr>
          <w:p w14:paraId="6BB9697D">
            <w:pPr>
              <w:widowControl/>
              <w:spacing w:line="240" w:lineRule="atLeast"/>
              <w:contextualSpacing/>
              <w:jc w:val="center"/>
              <w:rPr>
                <w:rFonts w:hint="eastAsia" w:ascii="黑体" w:hAnsi="黑体" w:eastAsia="黑体" w:cs="宋体"/>
                <w:kern w:val="0"/>
                <w:sz w:val="20"/>
              </w:rPr>
            </w:pPr>
          </w:p>
        </w:tc>
        <w:tc>
          <w:tcPr>
            <w:tcW w:w="1143" w:type="dxa"/>
            <w:tcBorders>
              <w:top w:val="nil"/>
              <w:left w:val="nil"/>
              <w:bottom w:val="single" w:color="auto" w:sz="4" w:space="0"/>
              <w:right w:val="single" w:color="auto" w:sz="4" w:space="0"/>
            </w:tcBorders>
            <w:shd w:val="clear" w:color="auto" w:fill="auto"/>
            <w:vAlign w:val="center"/>
          </w:tcPr>
          <w:p w14:paraId="4310C5DE">
            <w:pPr>
              <w:widowControl/>
              <w:spacing w:line="240" w:lineRule="atLeast"/>
              <w:contextualSpacing/>
              <w:jc w:val="center"/>
              <w:rPr>
                <w:rFonts w:hint="eastAsia" w:ascii="黑体" w:hAnsi="黑体" w:eastAsia="黑体" w:cs="宋体"/>
                <w:kern w:val="0"/>
                <w:sz w:val="20"/>
              </w:rPr>
            </w:pPr>
          </w:p>
        </w:tc>
        <w:tc>
          <w:tcPr>
            <w:tcW w:w="1143" w:type="dxa"/>
            <w:tcBorders>
              <w:top w:val="nil"/>
              <w:left w:val="nil"/>
              <w:bottom w:val="single" w:color="auto" w:sz="4" w:space="0"/>
              <w:right w:val="single" w:color="auto" w:sz="4" w:space="0"/>
            </w:tcBorders>
            <w:shd w:val="clear" w:color="auto" w:fill="auto"/>
            <w:noWrap/>
            <w:vAlign w:val="center"/>
          </w:tcPr>
          <w:p w14:paraId="75839DF4">
            <w:pPr>
              <w:widowControl/>
              <w:spacing w:line="240" w:lineRule="atLeast"/>
              <w:contextualSpacing/>
              <w:jc w:val="center"/>
              <w:rPr>
                <w:rFonts w:hint="eastAsia" w:ascii="黑体" w:hAnsi="黑体" w:eastAsia="黑体" w:cs="宋体"/>
                <w:kern w:val="0"/>
                <w:sz w:val="20"/>
              </w:rPr>
            </w:pPr>
          </w:p>
        </w:tc>
        <w:tc>
          <w:tcPr>
            <w:tcW w:w="1359" w:type="dxa"/>
            <w:tcBorders>
              <w:top w:val="nil"/>
              <w:left w:val="nil"/>
              <w:bottom w:val="single" w:color="auto" w:sz="4" w:space="0"/>
              <w:right w:val="single" w:color="auto" w:sz="4" w:space="0"/>
            </w:tcBorders>
            <w:shd w:val="clear" w:color="auto" w:fill="auto"/>
            <w:vAlign w:val="center"/>
          </w:tcPr>
          <w:p w14:paraId="554F7E58">
            <w:pPr>
              <w:widowControl/>
              <w:spacing w:line="240" w:lineRule="atLeast"/>
              <w:contextualSpacing/>
              <w:jc w:val="left"/>
              <w:rPr>
                <w:rFonts w:hint="eastAsia" w:ascii="黑体" w:hAnsi="黑体" w:eastAsia="黑体" w:cs="宋体"/>
                <w:kern w:val="0"/>
                <w:sz w:val="20"/>
              </w:rPr>
            </w:pPr>
            <w:r>
              <w:rPr>
                <w:rFonts w:hint="eastAsia" w:ascii="黑体" w:hAnsi="黑体" w:eastAsia="黑体" w:cs="宋体"/>
                <w:kern w:val="0"/>
                <w:sz w:val="20"/>
              </w:rPr>
              <w:t>　</w:t>
            </w:r>
          </w:p>
        </w:tc>
      </w:tr>
      <w:tr w14:paraId="638D0267">
        <w:tblPrEx>
          <w:tblCellMar>
            <w:top w:w="0" w:type="dxa"/>
            <w:left w:w="108" w:type="dxa"/>
            <w:bottom w:w="0" w:type="dxa"/>
            <w:right w:w="108" w:type="dxa"/>
          </w:tblCellMar>
        </w:tblPrEx>
        <w:trPr>
          <w:trHeight w:val="300" w:hRule="atLeast"/>
          <w:jc w:val="center"/>
        </w:trPr>
        <w:tc>
          <w:tcPr>
            <w:tcW w:w="9027" w:type="dxa"/>
            <w:gridSpan w:val="7"/>
            <w:tcBorders>
              <w:top w:val="nil"/>
              <w:left w:val="single" w:color="auto" w:sz="4" w:space="0"/>
              <w:bottom w:val="single" w:color="auto" w:sz="4" w:space="0"/>
              <w:right w:val="single" w:color="auto" w:sz="4" w:space="0"/>
            </w:tcBorders>
            <w:shd w:val="clear" w:color="auto" w:fill="auto"/>
            <w:noWrap/>
            <w:vAlign w:val="bottom"/>
          </w:tcPr>
          <w:p w14:paraId="7F1F0197">
            <w:pPr>
              <w:widowControl/>
              <w:spacing w:line="240" w:lineRule="atLeast"/>
              <w:ind w:firstLine="200" w:firstLineChars="100"/>
              <w:contextualSpacing/>
              <w:jc w:val="left"/>
              <w:rPr>
                <w:rFonts w:hint="eastAsia" w:ascii="黑体" w:hAnsi="黑体" w:eastAsia="黑体" w:cs="宋体"/>
                <w:kern w:val="0"/>
                <w:sz w:val="20"/>
              </w:rPr>
            </w:pPr>
            <w:r>
              <w:rPr>
                <w:rFonts w:hint="eastAsia" w:ascii="黑体" w:hAnsi="黑体" w:eastAsia="黑体" w:cs="宋体"/>
                <w:kern w:val="0"/>
                <w:sz w:val="20"/>
              </w:rPr>
              <w:t>不含税金额：￥：万元       税率：13%       税额：万元</w:t>
            </w:r>
          </w:p>
        </w:tc>
      </w:tr>
      <w:tr w14:paraId="6B40F72E">
        <w:tblPrEx>
          <w:tblCellMar>
            <w:top w:w="0" w:type="dxa"/>
            <w:left w:w="108" w:type="dxa"/>
            <w:bottom w:w="0" w:type="dxa"/>
            <w:right w:w="108" w:type="dxa"/>
          </w:tblCellMar>
        </w:tblPrEx>
        <w:trPr>
          <w:trHeight w:val="240" w:hRule="atLeast"/>
          <w:jc w:val="center"/>
        </w:trPr>
        <w:tc>
          <w:tcPr>
            <w:tcW w:w="9027" w:type="dxa"/>
            <w:gridSpan w:val="7"/>
            <w:tcBorders>
              <w:top w:val="nil"/>
              <w:left w:val="single" w:color="auto" w:sz="4" w:space="0"/>
              <w:bottom w:val="single" w:color="auto" w:sz="4" w:space="0"/>
              <w:right w:val="single" w:color="auto" w:sz="4" w:space="0"/>
            </w:tcBorders>
            <w:shd w:val="clear" w:color="auto" w:fill="auto"/>
            <w:vAlign w:val="center"/>
          </w:tcPr>
          <w:p w14:paraId="33A20FB2">
            <w:pPr>
              <w:widowControl/>
              <w:spacing w:line="240" w:lineRule="atLeast"/>
              <w:contextualSpacing/>
              <w:jc w:val="left"/>
              <w:rPr>
                <w:rFonts w:hint="eastAsia" w:ascii="黑体" w:hAnsi="黑体" w:eastAsia="黑体" w:cs="宋体"/>
                <w:kern w:val="0"/>
                <w:sz w:val="20"/>
              </w:rPr>
            </w:pPr>
            <w:r>
              <w:rPr>
                <w:rFonts w:hint="eastAsia" w:ascii="黑体" w:hAnsi="黑体" w:eastAsia="黑体" w:cs="宋体"/>
                <w:kern w:val="0"/>
                <w:sz w:val="20"/>
              </w:rPr>
              <w:t>　   合同的总价（大写）为：万元整   　￥：万元</w:t>
            </w:r>
          </w:p>
        </w:tc>
      </w:tr>
    </w:tbl>
    <w:p w14:paraId="36577F8C">
      <w:pPr>
        <w:pStyle w:val="76"/>
        <w:numPr>
          <w:ilvl w:val="0"/>
          <w:numId w:val="4"/>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本合同价格包括合同设备费（含备品备件、专用工具）、设计费、技术资料费、技术服务费，安装费、调试费、培训费、质保期内的维护保养费、设备的包装费、装车费、卸车费、运输费、运输保险费、各种杂费、税费及与本合同有关的所有费用。</w:t>
      </w:r>
    </w:p>
    <w:p w14:paraId="55C4DD9F">
      <w:pPr>
        <w:pStyle w:val="76"/>
        <w:numPr>
          <w:ilvl w:val="0"/>
          <w:numId w:val="4"/>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上述合同价格为乙方将合同设备运输到甲方工地、并安装调试合格交付甲方使用的最终价格，不因任何因素的改变而改变。</w:t>
      </w:r>
    </w:p>
    <w:p w14:paraId="7C770CB4">
      <w:pPr>
        <w:pStyle w:val="76"/>
        <w:snapToGrid w:val="0"/>
        <w:spacing w:line="240" w:lineRule="atLeast"/>
        <w:ind w:left="567" w:firstLine="0" w:firstLineChars="0"/>
        <w:contextualSpacing/>
        <w:jc w:val="center"/>
        <w:outlineLvl w:val="0"/>
        <w:rPr>
          <w:rFonts w:hint="eastAsia" w:ascii="仿宋" w:hAnsi="仿宋" w:eastAsia="仿宋"/>
          <w:b/>
          <w:sz w:val="24"/>
          <w:szCs w:val="24"/>
        </w:rPr>
      </w:pPr>
    </w:p>
    <w:p w14:paraId="4C410BAB">
      <w:pPr>
        <w:pStyle w:val="76"/>
        <w:snapToGrid w:val="0"/>
        <w:spacing w:line="240" w:lineRule="atLeast"/>
        <w:ind w:left="567" w:firstLine="0" w:firstLineChars="0"/>
        <w:contextualSpacing/>
        <w:jc w:val="center"/>
        <w:outlineLvl w:val="0"/>
        <w:rPr>
          <w:rFonts w:hint="eastAsia" w:ascii="仿宋" w:hAnsi="仿宋" w:eastAsia="仿宋"/>
          <w:b/>
          <w:sz w:val="24"/>
          <w:szCs w:val="24"/>
        </w:rPr>
      </w:pPr>
      <w:r>
        <w:rPr>
          <w:rFonts w:hint="eastAsia" w:ascii="仿宋" w:hAnsi="仿宋" w:eastAsia="仿宋"/>
          <w:b/>
          <w:sz w:val="24"/>
          <w:szCs w:val="24"/>
        </w:rPr>
        <w:t>条款4支付</w:t>
      </w:r>
    </w:p>
    <w:p w14:paraId="76C0D3F3">
      <w:pPr>
        <w:pStyle w:val="76"/>
        <w:spacing w:line="240" w:lineRule="atLeast"/>
        <w:ind w:firstLine="0" w:firstLineChars="0"/>
        <w:rPr>
          <w:rFonts w:hint="eastAsia" w:ascii="仿宋" w:hAnsi="仿宋" w:eastAsia="仿宋"/>
          <w:sz w:val="24"/>
          <w:szCs w:val="24"/>
        </w:rPr>
      </w:pPr>
      <w:r>
        <w:rPr>
          <w:rFonts w:hint="eastAsia" w:ascii="仿宋" w:hAnsi="仿宋" w:eastAsia="仿宋"/>
          <w:sz w:val="32"/>
          <w:szCs w:val="32"/>
        </w:rPr>
        <w:t>4、</w:t>
      </w:r>
      <w:r>
        <w:rPr>
          <w:rFonts w:hint="eastAsia" w:ascii="仿宋" w:hAnsi="仿宋" w:eastAsia="仿宋"/>
          <w:sz w:val="24"/>
          <w:szCs w:val="24"/>
        </w:rPr>
        <w:t>付款方式：银行承兑或现汇</w:t>
      </w:r>
    </w:p>
    <w:p w14:paraId="3EAC6FC7">
      <w:pPr>
        <w:pStyle w:val="76"/>
        <w:numPr>
          <w:ilvl w:val="1"/>
          <w:numId w:val="5"/>
        </w:numPr>
        <w:spacing w:line="240" w:lineRule="atLeast"/>
        <w:ind w:hanging="556" w:firstLineChars="0"/>
        <w:rPr>
          <w:rFonts w:hint="eastAsia" w:ascii="仿宋" w:hAnsi="仿宋" w:eastAsia="仿宋"/>
          <w:sz w:val="24"/>
          <w:szCs w:val="24"/>
        </w:rPr>
      </w:pPr>
      <w:r>
        <w:rPr>
          <w:rFonts w:hint="eastAsia" w:ascii="仿宋" w:hAnsi="仿宋" w:eastAsia="仿宋"/>
          <w:sz w:val="24"/>
          <w:szCs w:val="24"/>
        </w:rPr>
        <w:t>合同货物全部到达甲方安装现场并经甲方根据技术协议的要求对合同设备的外观，数量，规格型号，及附带的说明书合格证等初步验收合格，由甲方出具到货检验证书。</w:t>
      </w:r>
    </w:p>
    <w:p w14:paraId="64063E33">
      <w:pPr>
        <w:pStyle w:val="76"/>
        <w:numPr>
          <w:ilvl w:val="1"/>
          <w:numId w:val="5"/>
        </w:numPr>
        <w:spacing w:line="240" w:lineRule="atLeast"/>
        <w:ind w:hanging="556" w:firstLineChars="0"/>
        <w:rPr>
          <w:rFonts w:hint="eastAsia" w:ascii="仿宋" w:hAnsi="仿宋" w:eastAsia="仿宋"/>
          <w:sz w:val="24"/>
          <w:szCs w:val="24"/>
        </w:rPr>
      </w:pPr>
      <w:r>
        <w:rPr>
          <w:rFonts w:hint="eastAsia" w:ascii="仿宋" w:hAnsi="仿宋" w:eastAsia="仿宋"/>
          <w:sz w:val="24"/>
          <w:szCs w:val="24"/>
        </w:rPr>
        <w:t>乙方向甲方开具合同总价90%的财务收据￥：</w:t>
      </w:r>
      <w:r>
        <w:rPr>
          <w:rFonts w:hint="eastAsia" w:ascii="仿宋" w:hAnsi="仿宋" w:eastAsia="仿宋"/>
          <w:sz w:val="24"/>
          <w:szCs w:val="24"/>
          <w:u w:val="single"/>
        </w:rPr>
        <w:t xml:space="preserve">     </w:t>
      </w:r>
      <w:r>
        <w:rPr>
          <w:rFonts w:hint="eastAsia" w:ascii="仿宋" w:hAnsi="仿宋" w:eastAsia="仿宋"/>
          <w:sz w:val="24"/>
          <w:szCs w:val="24"/>
        </w:rPr>
        <w:t>万元（大写人民币</w:t>
      </w:r>
      <w:r>
        <w:rPr>
          <w:rFonts w:hint="eastAsia" w:ascii="仿宋" w:hAnsi="仿宋" w:eastAsia="仿宋"/>
          <w:sz w:val="24"/>
          <w:szCs w:val="24"/>
          <w:u w:val="single"/>
        </w:rPr>
        <w:t xml:space="preserve">   </w:t>
      </w:r>
      <w:r>
        <w:rPr>
          <w:rFonts w:hint="eastAsia" w:ascii="仿宋" w:hAnsi="仿宋" w:eastAsia="仿宋"/>
          <w:sz w:val="24"/>
          <w:szCs w:val="24"/>
        </w:rPr>
        <w:t>万元整）。</w:t>
      </w:r>
    </w:p>
    <w:p w14:paraId="0788E18D">
      <w:pPr>
        <w:pStyle w:val="76"/>
        <w:numPr>
          <w:ilvl w:val="1"/>
          <w:numId w:val="5"/>
        </w:numPr>
        <w:spacing w:line="240" w:lineRule="atLeast"/>
        <w:ind w:hanging="556" w:firstLineChars="0"/>
        <w:rPr>
          <w:rFonts w:hint="eastAsia" w:ascii="仿宋" w:hAnsi="仿宋" w:eastAsia="仿宋"/>
          <w:sz w:val="24"/>
          <w:szCs w:val="24"/>
        </w:rPr>
      </w:pPr>
      <w:r>
        <w:rPr>
          <w:rFonts w:hint="eastAsia" w:ascii="仿宋" w:hAnsi="仿宋" w:eastAsia="仿宋"/>
          <w:sz w:val="24"/>
          <w:szCs w:val="24"/>
        </w:rPr>
        <w:t>各项技术资料，检验合格证书等证件全部移交给甲方。</w:t>
      </w:r>
    </w:p>
    <w:p w14:paraId="18719051">
      <w:pPr>
        <w:pStyle w:val="76"/>
        <w:numPr>
          <w:ilvl w:val="1"/>
          <w:numId w:val="5"/>
        </w:numPr>
        <w:spacing w:line="240" w:lineRule="atLeast"/>
        <w:ind w:hanging="556" w:firstLineChars="0"/>
        <w:rPr>
          <w:rFonts w:hint="eastAsia" w:ascii="仿宋" w:hAnsi="仿宋" w:eastAsia="仿宋"/>
          <w:sz w:val="24"/>
          <w:szCs w:val="24"/>
        </w:rPr>
      </w:pPr>
      <w:r>
        <w:rPr>
          <w:rFonts w:hint="eastAsia" w:ascii="仿宋" w:hAnsi="仿宋" w:eastAsia="仿宋"/>
          <w:sz w:val="24"/>
          <w:szCs w:val="24"/>
        </w:rPr>
        <w:t>设备安装调试结束，设备运行正常满一个月，双方办理设备性能考核验收手续，且达到技术协议标准要求，待最终验收合格后由甲方出具验收合格报告。</w:t>
      </w:r>
    </w:p>
    <w:p w14:paraId="3FE30713">
      <w:pPr>
        <w:pStyle w:val="76"/>
        <w:numPr>
          <w:ilvl w:val="1"/>
          <w:numId w:val="5"/>
        </w:numPr>
        <w:spacing w:line="240" w:lineRule="atLeast"/>
        <w:ind w:hanging="556" w:firstLineChars="0"/>
        <w:rPr>
          <w:rFonts w:hint="eastAsia" w:ascii="仿宋" w:hAnsi="仿宋" w:eastAsia="仿宋"/>
          <w:sz w:val="24"/>
          <w:szCs w:val="24"/>
        </w:rPr>
      </w:pPr>
      <w:r>
        <w:rPr>
          <w:rFonts w:hint="eastAsia" w:ascii="仿宋" w:hAnsi="仿宋" w:eastAsia="仿宋"/>
          <w:sz w:val="24"/>
          <w:szCs w:val="24"/>
        </w:rPr>
        <w:t>出具验收报告后，乙方向甲方开具合同总价90%的增值税专用发票（税率13%)，甲方在90个工作日内支付合同总价的90%货款。</w:t>
      </w:r>
    </w:p>
    <w:p w14:paraId="21D55FA5">
      <w:pPr>
        <w:pStyle w:val="76"/>
        <w:spacing w:line="240" w:lineRule="atLeast"/>
        <w:ind w:firstLine="240" w:firstLineChars="100"/>
        <w:rPr>
          <w:rFonts w:hint="eastAsia" w:ascii="仿宋" w:hAnsi="仿宋" w:eastAsia="仿宋"/>
          <w:sz w:val="24"/>
          <w:szCs w:val="24"/>
        </w:rPr>
      </w:pPr>
      <w:r>
        <w:rPr>
          <w:rFonts w:hint="eastAsia" w:ascii="仿宋" w:hAnsi="仿宋" w:eastAsia="仿宋"/>
          <w:sz w:val="24"/>
          <w:szCs w:val="24"/>
        </w:rPr>
        <w:t>4.6. 质保金：合同设备总价的10%，即￥：万元（大写人民币</w:t>
      </w:r>
      <w:r>
        <w:rPr>
          <w:rFonts w:hint="eastAsia" w:ascii="仿宋" w:hAnsi="仿宋" w:eastAsia="仿宋"/>
          <w:sz w:val="24"/>
          <w:szCs w:val="24"/>
          <w:u w:val="single"/>
        </w:rPr>
        <w:t xml:space="preserve">   </w:t>
      </w:r>
      <w:r>
        <w:rPr>
          <w:rFonts w:hint="eastAsia" w:ascii="仿宋" w:hAnsi="仿宋" w:eastAsia="仿宋"/>
          <w:sz w:val="24"/>
          <w:szCs w:val="24"/>
        </w:rPr>
        <w:t xml:space="preserve">万元整）在具备下列所有条件后甲方向乙方支付：   </w:t>
      </w:r>
    </w:p>
    <w:p w14:paraId="6EC2AC40">
      <w:pPr>
        <w:pStyle w:val="76"/>
        <w:spacing w:line="240" w:lineRule="atLeast"/>
        <w:ind w:left="284" w:firstLine="0" w:firstLineChars="0"/>
        <w:rPr>
          <w:rFonts w:hint="eastAsia" w:ascii="仿宋" w:hAnsi="仿宋" w:eastAsia="仿宋"/>
          <w:sz w:val="24"/>
          <w:szCs w:val="24"/>
        </w:rPr>
      </w:pPr>
      <w:r>
        <w:rPr>
          <w:rFonts w:hint="eastAsia" w:ascii="仿宋" w:hAnsi="仿宋" w:eastAsia="仿宋"/>
          <w:sz w:val="24"/>
          <w:szCs w:val="24"/>
        </w:rPr>
        <w:t>4.6.1.从设备安装调试合格试运行结束，甲方出具验收合格报告之日起稳定运行满12个月。</w:t>
      </w:r>
    </w:p>
    <w:p w14:paraId="44DFB5C8">
      <w:pPr>
        <w:pStyle w:val="76"/>
        <w:spacing w:line="240" w:lineRule="atLeast"/>
        <w:ind w:left="284" w:firstLine="0" w:firstLineChars="0"/>
        <w:rPr>
          <w:rFonts w:hint="eastAsia" w:ascii="仿宋" w:hAnsi="仿宋" w:eastAsia="仿宋"/>
          <w:sz w:val="24"/>
          <w:szCs w:val="24"/>
        </w:rPr>
      </w:pPr>
      <w:r>
        <w:rPr>
          <w:rFonts w:hint="eastAsia" w:ascii="仿宋" w:hAnsi="仿宋" w:eastAsia="仿宋"/>
          <w:sz w:val="24"/>
          <w:szCs w:val="24"/>
        </w:rPr>
        <w:t>4.6.2.设备运行状况和性能指标达到买卖双方签定的技术协议的要求，由双方验收人员签订设备的最终验收报告。</w:t>
      </w:r>
    </w:p>
    <w:p w14:paraId="5F3F8B19">
      <w:pPr>
        <w:pStyle w:val="76"/>
        <w:spacing w:line="240" w:lineRule="atLeast"/>
        <w:ind w:left="284" w:firstLine="0" w:firstLineChars="0"/>
        <w:rPr>
          <w:rFonts w:hint="eastAsia" w:ascii="仿宋" w:hAnsi="仿宋" w:eastAsia="仿宋"/>
          <w:sz w:val="24"/>
          <w:szCs w:val="24"/>
        </w:rPr>
      </w:pPr>
      <w:r>
        <w:rPr>
          <w:rFonts w:hint="eastAsia" w:ascii="仿宋" w:hAnsi="仿宋" w:eastAsia="仿宋"/>
          <w:sz w:val="24"/>
          <w:szCs w:val="24"/>
        </w:rPr>
        <w:t>4.6.3.乙方向甲方开具合同总价10%的财务收据（大写人民币</w:t>
      </w:r>
      <w:r>
        <w:rPr>
          <w:rFonts w:hint="eastAsia" w:ascii="仿宋" w:hAnsi="仿宋" w:eastAsia="仿宋"/>
          <w:sz w:val="24"/>
          <w:szCs w:val="24"/>
          <w:u w:val="single"/>
        </w:rPr>
        <w:t xml:space="preserve">   </w:t>
      </w:r>
      <w:r>
        <w:rPr>
          <w:rFonts w:hint="eastAsia" w:ascii="仿宋" w:hAnsi="仿宋" w:eastAsia="仿宋"/>
          <w:sz w:val="24"/>
          <w:szCs w:val="24"/>
        </w:rPr>
        <w:t>万元整）。</w:t>
      </w:r>
    </w:p>
    <w:p w14:paraId="44668AC4">
      <w:pPr>
        <w:pStyle w:val="76"/>
        <w:snapToGrid w:val="0"/>
        <w:spacing w:line="240" w:lineRule="atLeast"/>
        <w:ind w:left="567" w:firstLine="0" w:firstLineChars="0"/>
        <w:contextualSpacing/>
        <w:jc w:val="center"/>
        <w:outlineLvl w:val="0"/>
        <w:rPr>
          <w:rFonts w:hint="eastAsia" w:ascii="仿宋" w:hAnsi="仿宋" w:eastAsia="仿宋"/>
          <w:b/>
          <w:sz w:val="24"/>
          <w:szCs w:val="24"/>
        </w:rPr>
      </w:pPr>
    </w:p>
    <w:p w14:paraId="2CE668D5">
      <w:pPr>
        <w:pStyle w:val="76"/>
        <w:snapToGrid w:val="0"/>
        <w:spacing w:line="240" w:lineRule="atLeast"/>
        <w:ind w:left="567" w:firstLine="0" w:firstLineChars="0"/>
        <w:contextualSpacing/>
        <w:jc w:val="center"/>
        <w:outlineLvl w:val="0"/>
        <w:rPr>
          <w:rFonts w:hint="eastAsia" w:ascii="仿宋" w:hAnsi="仿宋" w:eastAsia="仿宋"/>
          <w:b/>
          <w:sz w:val="24"/>
          <w:szCs w:val="24"/>
        </w:rPr>
      </w:pPr>
      <w:r>
        <w:rPr>
          <w:rFonts w:hint="eastAsia" w:ascii="仿宋" w:hAnsi="仿宋" w:eastAsia="仿宋"/>
          <w:b/>
          <w:sz w:val="24"/>
          <w:szCs w:val="24"/>
        </w:rPr>
        <w:t>条款5包装、运输及交货时间、地点、设备所有权转移</w:t>
      </w:r>
    </w:p>
    <w:p w14:paraId="1E506EE0">
      <w:pPr>
        <w:pStyle w:val="76"/>
        <w:numPr>
          <w:ilvl w:val="0"/>
          <w:numId w:val="6"/>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包装</w:t>
      </w:r>
    </w:p>
    <w:p w14:paraId="0EBA4365">
      <w:pPr>
        <w:pStyle w:val="76"/>
        <w:numPr>
          <w:ilvl w:val="0"/>
          <w:numId w:val="7"/>
        </w:numPr>
        <w:spacing w:line="240" w:lineRule="atLeast"/>
        <w:ind w:hanging="556" w:firstLineChars="0"/>
        <w:rPr>
          <w:rFonts w:hint="eastAsia" w:ascii="仿宋" w:hAnsi="仿宋" w:eastAsia="仿宋"/>
          <w:sz w:val="24"/>
          <w:szCs w:val="24"/>
        </w:rPr>
      </w:pPr>
      <w:r>
        <w:rPr>
          <w:rFonts w:hint="eastAsia" w:ascii="仿宋" w:hAnsi="仿宋" w:eastAsia="仿宋"/>
          <w:sz w:val="24"/>
          <w:szCs w:val="24"/>
        </w:rPr>
        <w:t>乙方应依照设备的不同形状和特殊性质，将提供的全部设备须采用相应标准的保护措施进行包装，以确保设备安全运抵现场。乙方应承担其包装或其防护措施不到位而引起设备锈蚀、损坏和丢失的任何损失的责任和费用。每件包装应附有详细装箱单和质量合格证书各二套，一套原件在包装箱里，另一套复印件直接交付给甲方。</w:t>
      </w:r>
    </w:p>
    <w:p w14:paraId="1AB84020">
      <w:pPr>
        <w:pStyle w:val="76"/>
        <w:numPr>
          <w:ilvl w:val="0"/>
          <w:numId w:val="7"/>
        </w:numPr>
        <w:spacing w:line="240" w:lineRule="atLeast"/>
        <w:ind w:hanging="556" w:firstLineChars="0"/>
        <w:rPr>
          <w:rFonts w:hint="eastAsia" w:ascii="仿宋" w:hAnsi="仿宋" w:eastAsia="仿宋"/>
          <w:sz w:val="24"/>
          <w:szCs w:val="24"/>
        </w:rPr>
      </w:pPr>
      <w:r>
        <w:rPr>
          <w:rFonts w:hint="eastAsia" w:ascii="仿宋" w:hAnsi="仿宋" w:eastAsia="仿宋"/>
          <w:sz w:val="24"/>
          <w:szCs w:val="24"/>
        </w:rPr>
        <w:t>包装箱上应有明显的印刷有“轻放”、“勿倒置”和“防雨”等字样。箱内的零散随机部件将由乙方贴上标签，注明合同号、主机名称、部件名称及位置号，部件在安装图上的编码。</w:t>
      </w:r>
    </w:p>
    <w:p w14:paraId="2980DB93">
      <w:pPr>
        <w:pStyle w:val="76"/>
        <w:numPr>
          <w:ilvl w:val="0"/>
          <w:numId w:val="7"/>
        </w:numPr>
        <w:spacing w:line="240" w:lineRule="atLeast"/>
        <w:ind w:hanging="556" w:firstLineChars="0"/>
        <w:rPr>
          <w:rFonts w:hint="eastAsia" w:ascii="仿宋" w:hAnsi="仿宋" w:eastAsia="仿宋"/>
          <w:sz w:val="24"/>
          <w:szCs w:val="24"/>
        </w:rPr>
      </w:pPr>
      <w:r>
        <w:rPr>
          <w:rFonts w:hint="eastAsia" w:ascii="仿宋" w:hAnsi="仿宋" w:eastAsia="仿宋"/>
          <w:sz w:val="24"/>
          <w:szCs w:val="24"/>
        </w:rPr>
        <w:t>包装物不回收。</w:t>
      </w:r>
    </w:p>
    <w:p w14:paraId="4F7468F9">
      <w:pPr>
        <w:pStyle w:val="76"/>
        <w:numPr>
          <w:ilvl w:val="0"/>
          <w:numId w:val="6"/>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运输</w:t>
      </w:r>
    </w:p>
    <w:p w14:paraId="3FEBF8BD">
      <w:pPr>
        <w:pStyle w:val="76"/>
        <w:numPr>
          <w:ilvl w:val="0"/>
          <w:numId w:val="8"/>
        </w:numPr>
        <w:spacing w:line="240" w:lineRule="atLeast"/>
        <w:ind w:hanging="556" w:firstLineChars="0"/>
        <w:rPr>
          <w:rFonts w:hint="eastAsia" w:ascii="仿宋" w:hAnsi="仿宋" w:eastAsia="仿宋"/>
          <w:sz w:val="24"/>
          <w:szCs w:val="24"/>
        </w:rPr>
      </w:pPr>
      <w:r>
        <w:rPr>
          <w:rFonts w:hint="eastAsia" w:ascii="仿宋" w:hAnsi="仿宋" w:eastAsia="仿宋"/>
          <w:sz w:val="24"/>
          <w:szCs w:val="24"/>
        </w:rPr>
        <w:t>运输方式：乙方采用合适的运输方式将合同设备发运至甲方现场。（发货前5天书面通知甲方）。</w:t>
      </w:r>
    </w:p>
    <w:p w14:paraId="5AB25428">
      <w:pPr>
        <w:pStyle w:val="76"/>
        <w:numPr>
          <w:ilvl w:val="0"/>
          <w:numId w:val="6"/>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交货时间和地点</w:t>
      </w:r>
    </w:p>
    <w:p w14:paraId="06537926">
      <w:pPr>
        <w:pStyle w:val="76"/>
        <w:numPr>
          <w:ilvl w:val="0"/>
          <w:numId w:val="9"/>
        </w:numPr>
        <w:spacing w:line="240" w:lineRule="atLeast"/>
        <w:ind w:hanging="556" w:firstLineChars="0"/>
        <w:rPr>
          <w:rFonts w:hint="eastAsia" w:ascii="仿宋" w:hAnsi="仿宋" w:eastAsia="仿宋"/>
          <w:sz w:val="24"/>
          <w:szCs w:val="24"/>
        </w:rPr>
      </w:pPr>
      <w:r>
        <w:rPr>
          <w:rFonts w:hint="eastAsia" w:ascii="仿宋" w:hAnsi="仿宋" w:eastAsia="仿宋"/>
          <w:sz w:val="24"/>
          <w:szCs w:val="24"/>
        </w:rPr>
        <w:t>交货时间：</w:t>
      </w:r>
      <w:r>
        <w:rPr>
          <w:rFonts w:hint="eastAsia" w:ascii="仿宋" w:hAnsi="仿宋" w:eastAsia="仿宋"/>
          <w:bCs/>
          <w:sz w:val="24"/>
          <w:szCs w:val="24"/>
        </w:rPr>
        <w:t>合同生效后</w:t>
      </w:r>
      <w:r>
        <w:rPr>
          <w:rFonts w:ascii="仿宋" w:hAnsi="仿宋" w:eastAsia="仿宋"/>
          <w:bCs/>
          <w:sz w:val="24"/>
          <w:szCs w:val="24"/>
        </w:rPr>
        <w:t>8</w:t>
      </w:r>
      <w:r>
        <w:rPr>
          <w:rFonts w:hint="eastAsia" w:ascii="仿宋" w:hAnsi="仿宋" w:eastAsia="仿宋"/>
          <w:bCs/>
          <w:sz w:val="24"/>
          <w:szCs w:val="24"/>
        </w:rPr>
        <w:t>个月内</w:t>
      </w:r>
      <w:r>
        <w:rPr>
          <w:rFonts w:hint="eastAsia" w:ascii="仿宋" w:hAnsi="仿宋" w:eastAsia="仿宋"/>
          <w:sz w:val="24"/>
          <w:szCs w:val="24"/>
        </w:rPr>
        <w:t>货到甲方现场并安装调试结束达到试运行条件（若甲方要求推迟或提前交货，甲方提前15天书面通知乙方）。</w:t>
      </w:r>
    </w:p>
    <w:p w14:paraId="4B5B4886">
      <w:pPr>
        <w:pStyle w:val="76"/>
        <w:numPr>
          <w:ilvl w:val="0"/>
          <w:numId w:val="9"/>
        </w:numPr>
        <w:spacing w:line="240" w:lineRule="atLeast"/>
        <w:ind w:hanging="556" w:firstLineChars="0"/>
        <w:rPr>
          <w:rFonts w:hint="eastAsia" w:ascii="仿宋" w:hAnsi="仿宋" w:eastAsia="仿宋"/>
          <w:sz w:val="24"/>
          <w:szCs w:val="24"/>
        </w:rPr>
      </w:pPr>
      <w:r>
        <w:rPr>
          <w:rFonts w:hint="eastAsia" w:ascii="仿宋" w:hAnsi="仿宋" w:eastAsia="仿宋"/>
          <w:sz w:val="24"/>
          <w:szCs w:val="24"/>
        </w:rPr>
        <w:t>交货地点：洛阳万基铝钛合金新材料有限公司设备安装现场。</w:t>
      </w:r>
    </w:p>
    <w:p w14:paraId="07FA0C7B">
      <w:pPr>
        <w:pStyle w:val="76"/>
        <w:numPr>
          <w:ilvl w:val="0"/>
          <w:numId w:val="6"/>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设备所有权的转移</w:t>
      </w:r>
    </w:p>
    <w:p w14:paraId="1EBD8F52">
      <w:pPr>
        <w:pStyle w:val="76"/>
        <w:numPr>
          <w:ilvl w:val="0"/>
          <w:numId w:val="10"/>
        </w:numPr>
        <w:spacing w:line="240" w:lineRule="atLeast"/>
        <w:ind w:hanging="698" w:firstLineChars="0"/>
        <w:rPr>
          <w:rFonts w:hint="eastAsia" w:ascii="仿宋" w:hAnsi="仿宋" w:eastAsia="仿宋"/>
          <w:sz w:val="24"/>
          <w:szCs w:val="24"/>
        </w:rPr>
      </w:pPr>
      <w:r>
        <w:rPr>
          <w:rFonts w:hint="eastAsia" w:ascii="仿宋" w:hAnsi="仿宋" w:eastAsia="仿宋"/>
          <w:sz w:val="24"/>
          <w:szCs w:val="24"/>
        </w:rPr>
        <w:t>方将合同设备发运至甲方现场后且经过买卖双方共同检验并出具到货检验证书后，设备所有权转移给甲方。</w:t>
      </w:r>
    </w:p>
    <w:p w14:paraId="692FFEF3">
      <w:pPr>
        <w:pStyle w:val="76"/>
        <w:snapToGrid w:val="0"/>
        <w:spacing w:line="240" w:lineRule="atLeast"/>
        <w:ind w:left="567" w:firstLine="0" w:firstLineChars="0"/>
        <w:contextualSpacing/>
        <w:jc w:val="center"/>
        <w:outlineLvl w:val="0"/>
        <w:rPr>
          <w:rFonts w:hint="eastAsia" w:ascii="仿宋" w:hAnsi="仿宋" w:eastAsia="仿宋"/>
          <w:b/>
          <w:sz w:val="24"/>
          <w:szCs w:val="24"/>
        </w:rPr>
      </w:pPr>
    </w:p>
    <w:p w14:paraId="71549906">
      <w:pPr>
        <w:pStyle w:val="76"/>
        <w:snapToGrid w:val="0"/>
        <w:spacing w:line="240" w:lineRule="atLeast"/>
        <w:ind w:left="567" w:firstLine="0" w:firstLineChars="0"/>
        <w:contextualSpacing/>
        <w:jc w:val="center"/>
        <w:outlineLvl w:val="0"/>
        <w:rPr>
          <w:rFonts w:hint="eastAsia" w:ascii="仿宋" w:hAnsi="仿宋" w:eastAsia="仿宋"/>
          <w:b/>
          <w:sz w:val="24"/>
          <w:szCs w:val="24"/>
        </w:rPr>
      </w:pPr>
      <w:r>
        <w:rPr>
          <w:rFonts w:hint="eastAsia" w:ascii="仿宋" w:hAnsi="仿宋" w:eastAsia="仿宋"/>
          <w:b/>
          <w:sz w:val="24"/>
          <w:szCs w:val="24"/>
        </w:rPr>
        <w:t>条款6安装与调试</w:t>
      </w:r>
    </w:p>
    <w:p w14:paraId="557F78D5">
      <w:pPr>
        <w:pStyle w:val="76"/>
        <w:numPr>
          <w:ilvl w:val="0"/>
          <w:numId w:val="11"/>
        </w:numPr>
        <w:spacing w:line="240" w:lineRule="atLeast"/>
        <w:ind w:left="567" w:hanging="616" w:firstLineChars="0"/>
        <w:rPr>
          <w:rFonts w:hint="eastAsia" w:ascii="仿宋" w:hAnsi="仿宋" w:eastAsia="仿宋"/>
          <w:sz w:val="24"/>
          <w:szCs w:val="24"/>
        </w:rPr>
      </w:pPr>
      <w:r>
        <w:rPr>
          <w:rFonts w:hint="eastAsia" w:ascii="仿宋" w:hAnsi="仿宋" w:eastAsia="仿宋"/>
          <w:sz w:val="24"/>
          <w:szCs w:val="24"/>
        </w:rPr>
        <w:t>乙方负责指派工程技术人员到甲方现场负责对本合同的设备进行安装和调试，并负责对甲方人员进行操作及维修的技术培训。</w:t>
      </w:r>
    </w:p>
    <w:p w14:paraId="164B74C0">
      <w:pPr>
        <w:pStyle w:val="76"/>
        <w:spacing w:line="240" w:lineRule="atLeast"/>
        <w:ind w:left="567" w:firstLine="0" w:firstLineChars="0"/>
        <w:rPr>
          <w:rFonts w:hint="eastAsia" w:ascii="仿宋" w:hAnsi="仿宋" w:eastAsia="仿宋"/>
          <w:sz w:val="24"/>
          <w:szCs w:val="24"/>
        </w:rPr>
      </w:pPr>
    </w:p>
    <w:p w14:paraId="67CA9668">
      <w:pPr>
        <w:pStyle w:val="76"/>
        <w:snapToGrid w:val="0"/>
        <w:spacing w:line="240" w:lineRule="atLeast"/>
        <w:ind w:left="567" w:firstLine="0" w:firstLineChars="0"/>
        <w:contextualSpacing/>
        <w:jc w:val="center"/>
        <w:outlineLvl w:val="0"/>
        <w:rPr>
          <w:rFonts w:hint="eastAsia" w:ascii="仿宋" w:hAnsi="仿宋" w:eastAsia="仿宋"/>
          <w:b/>
          <w:sz w:val="24"/>
          <w:szCs w:val="24"/>
        </w:rPr>
      </w:pPr>
      <w:r>
        <w:rPr>
          <w:rFonts w:hint="eastAsia" w:ascii="仿宋" w:hAnsi="仿宋" w:eastAsia="仿宋"/>
          <w:b/>
          <w:sz w:val="24"/>
          <w:szCs w:val="24"/>
        </w:rPr>
        <w:t>条款7技术规格及标准</w:t>
      </w:r>
    </w:p>
    <w:p w14:paraId="61F8F782">
      <w:pPr>
        <w:pStyle w:val="76"/>
        <w:numPr>
          <w:ilvl w:val="0"/>
          <w:numId w:val="12"/>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本合同项下所供设备的技术规格按照技术协议执行。</w:t>
      </w:r>
    </w:p>
    <w:p w14:paraId="273C2D5D">
      <w:pPr>
        <w:pStyle w:val="76"/>
        <w:spacing w:line="240" w:lineRule="atLeast"/>
        <w:ind w:left="567" w:firstLine="0" w:firstLineChars="0"/>
        <w:rPr>
          <w:rFonts w:hint="eastAsia" w:ascii="仿宋" w:hAnsi="仿宋" w:eastAsia="仿宋"/>
          <w:sz w:val="24"/>
          <w:szCs w:val="24"/>
        </w:rPr>
      </w:pPr>
    </w:p>
    <w:p w14:paraId="4AA51B48">
      <w:pPr>
        <w:pStyle w:val="76"/>
        <w:snapToGrid w:val="0"/>
        <w:spacing w:line="240" w:lineRule="atLeast"/>
        <w:ind w:left="567" w:firstLine="0" w:firstLineChars="0"/>
        <w:contextualSpacing/>
        <w:jc w:val="center"/>
        <w:outlineLvl w:val="0"/>
        <w:rPr>
          <w:rFonts w:hint="eastAsia" w:ascii="仿宋" w:hAnsi="仿宋" w:eastAsia="仿宋"/>
          <w:b/>
          <w:sz w:val="24"/>
          <w:szCs w:val="24"/>
        </w:rPr>
      </w:pPr>
      <w:r>
        <w:rPr>
          <w:rFonts w:hint="eastAsia" w:ascii="仿宋" w:hAnsi="仿宋" w:eastAsia="仿宋"/>
          <w:b/>
          <w:sz w:val="24"/>
          <w:szCs w:val="24"/>
        </w:rPr>
        <w:t>条款8质量保证</w:t>
      </w:r>
    </w:p>
    <w:p w14:paraId="3B147279">
      <w:pPr>
        <w:pStyle w:val="76"/>
        <w:numPr>
          <w:ilvl w:val="0"/>
          <w:numId w:val="13"/>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乙方应保证其提供的设备是全新的，并符合合同规定的质量、规格和性能要求。乙方应保证其设备在质量保证期内运转良好。在质量保证期内，乙方应对其设备的缺陷而造成的任何故障负责。出现前述情况，乙方应在收到甲方通知后48小时内，免费负责修理或更换有缺陷的零部件或整机，并承担由此所产生的全部费用。若因此给甲方造成损失的，乙方应当赔偿。如乙方技术人员安装、调试失误或乙方所供技术资料、图纸、名称的错误，导致设备出现问题或损坏等，乙方应免费负责修理或更换零部件或整机，并承担由此所产生的全部费用。</w:t>
      </w:r>
    </w:p>
    <w:p w14:paraId="1A785337">
      <w:pPr>
        <w:pStyle w:val="76"/>
        <w:numPr>
          <w:ilvl w:val="0"/>
          <w:numId w:val="13"/>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合同项下设备的质量保证期为甲方验收出具合同设备验收合格报告之日起12个月（即质保期满）。在质保期内合同设备非因甲方原因出现的故障，由乙方承担全部责任并免费更换损坏的零部件，质保期相应顺延。</w:t>
      </w:r>
    </w:p>
    <w:p w14:paraId="151D34DB">
      <w:pPr>
        <w:pStyle w:val="76"/>
        <w:numPr>
          <w:ilvl w:val="0"/>
          <w:numId w:val="13"/>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乙方所供设备在安装调试结束并稳定运行一个月后，甲方应在1个月内完成验收。由于甲方的原因不具备验收条件的，乙方应给予甲方2个月的配合期。在双方约定期限内，由于甲方条件不具备不能验收的，乙方书面告知甲方，由甲方按本合同技术协议指标进行验收并就设备质量进行评估考核，考核结果不符合设备的技术规范，乙方需在15日内使设备达到技术规范要求。若</w:t>
      </w:r>
      <w:r>
        <w:rPr>
          <w:rFonts w:hint="eastAsia" w:ascii="仿宋" w:hAnsi="仿宋" w:eastAsia="仿宋"/>
          <w:b/>
          <w:bCs/>
          <w:sz w:val="24"/>
          <w:szCs w:val="24"/>
        </w:rPr>
        <w:t>设备仍无法达到技术规范要求，则由乙方无条件拆除设备拉回，费用自理（若乙方在15日内不进行处理，甲方有权自行处理并不承担任何责任），同时乙方应退还甲方付给乙方的所有货款，且赔偿由此给甲方造成的所有损失，并向甲方支付单台设备总额20%的违约金。</w:t>
      </w:r>
      <w:r>
        <w:rPr>
          <w:rFonts w:hint="eastAsia" w:ascii="仿宋" w:hAnsi="仿宋" w:eastAsia="仿宋"/>
          <w:sz w:val="24"/>
          <w:szCs w:val="24"/>
        </w:rPr>
        <w:t>若经协商甲方同意接受，每一项与技术附件中（性能保证值及考核）指标要求不符的内容，由乙方向甲方支付合同总额的</w:t>
      </w:r>
      <w:r>
        <w:rPr>
          <w:rFonts w:ascii="仿宋" w:hAnsi="仿宋" w:eastAsia="仿宋"/>
          <w:sz w:val="24"/>
          <w:szCs w:val="24"/>
        </w:rPr>
        <w:t>0.5</w:t>
      </w:r>
      <w:r>
        <w:rPr>
          <w:rFonts w:hint="eastAsia" w:ascii="仿宋" w:hAnsi="仿宋" w:eastAsia="仿宋"/>
          <w:sz w:val="24"/>
          <w:szCs w:val="24"/>
        </w:rPr>
        <w:t>%作为违约金。</w:t>
      </w:r>
    </w:p>
    <w:p w14:paraId="1C81812A">
      <w:pPr>
        <w:pStyle w:val="76"/>
        <w:numPr>
          <w:ilvl w:val="0"/>
          <w:numId w:val="13"/>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乙方应保证合同设备的使用和制造以及产品销售不会引起任何第三方提出的侵权赔偿，如果出现第三方的针对甲方使用乙方按照本合同提供的合同设备和技术文件侵权诉讼，乙方应负责处理这些问题，甲方应向乙方提供诉讼方面的必要信息，如给甲方造成损失，乙方应全额赔偿甲方的损失。</w:t>
      </w:r>
    </w:p>
    <w:p w14:paraId="2F44E64D">
      <w:pPr>
        <w:pStyle w:val="76"/>
        <w:numPr>
          <w:ilvl w:val="0"/>
          <w:numId w:val="13"/>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乙方对合同设备质量实行终身负责制。质保期内，设备出现质量问题，乙方应在接到甲方通知24小时内到达甲方现场负责更换和维修，所有费用由乙方负担。质保期外，设备出现质量问题，若确系设计、原材料或制作工艺原因造成的，乙方应在24小时内免费处理，所需费用由乙方负担。非乙方原因设备出现问题，乙方也应在24小时内协助处理，所需费用由甲方负担。</w:t>
      </w:r>
    </w:p>
    <w:p w14:paraId="0143DABD">
      <w:pPr>
        <w:pStyle w:val="76"/>
        <w:numPr>
          <w:ilvl w:val="0"/>
          <w:numId w:val="13"/>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乙方保证合同设备符合本合同《技术协议》的规定。</w:t>
      </w:r>
    </w:p>
    <w:p w14:paraId="232B3212">
      <w:pPr>
        <w:pStyle w:val="76"/>
        <w:numPr>
          <w:ilvl w:val="0"/>
          <w:numId w:val="13"/>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乙方应保证所提供的技术资料能够满足合同设备的调试、操作及改造的需要。</w:t>
      </w:r>
    </w:p>
    <w:p w14:paraId="4B2C92DD">
      <w:pPr>
        <w:pStyle w:val="76"/>
        <w:numPr>
          <w:ilvl w:val="0"/>
          <w:numId w:val="13"/>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乙方保证合同所规定的元器件制造厂家及品牌，未经甲方书面同意，不得更改。选购的元器件应符合现行通用标准。外购件必须有相对应的产品合格证书和技术说明书。</w:t>
      </w:r>
    </w:p>
    <w:p w14:paraId="080B01B7">
      <w:pPr>
        <w:pStyle w:val="76"/>
        <w:snapToGrid w:val="0"/>
        <w:spacing w:line="240" w:lineRule="atLeast"/>
        <w:ind w:left="567" w:firstLine="0" w:firstLineChars="0"/>
        <w:contextualSpacing/>
        <w:jc w:val="center"/>
        <w:outlineLvl w:val="0"/>
        <w:rPr>
          <w:rFonts w:hint="eastAsia" w:ascii="仿宋" w:hAnsi="仿宋" w:eastAsia="仿宋"/>
          <w:b/>
          <w:sz w:val="24"/>
          <w:szCs w:val="24"/>
        </w:rPr>
      </w:pPr>
    </w:p>
    <w:p w14:paraId="294D87F9">
      <w:pPr>
        <w:pStyle w:val="76"/>
        <w:snapToGrid w:val="0"/>
        <w:spacing w:line="240" w:lineRule="atLeast"/>
        <w:ind w:left="567" w:firstLine="0" w:firstLineChars="0"/>
        <w:contextualSpacing/>
        <w:jc w:val="center"/>
        <w:outlineLvl w:val="0"/>
        <w:rPr>
          <w:rFonts w:hint="eastAsia" w:ascii="仿宋" w:hAnsi="仿宋" w:eastAsia="仿宋"/>
          <w:b/>
          <w:sz w:val="24"/>
          <w:szCs w:val="24"/>
        </w:rPr>
      </w:pPr>
      <w:r>
        <w:rPr>
          <w:rFonts w:hint="eastAsia" w:ascii="仿宋" w:hAnsi="仿宋" w:eastAsia="仿宋"/>
          <w:b/>
          <w:sz w:val="24"/>
          <w:szCs w:val="24"/>
        </w:rPr>
        <w:t>条款9检验</w:t>
      </w:r>
    </w:p>
    <w:p w14:paraId="1E6621AB">
      <w:pPr>
        <w:pStyle w:val="76"/>
        <w:numPr>
          <w:ilvl w:val="0"/>
          <w:numId w:val="14"/>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合同设备发运前，乙方应对设备的质量、规格、性能、数量等进行详细而全面的检验，并出具一份证明设备符合合同规定的合格证书（该合格证书将作为付款的重要依据之一）。但有关质量、规格、性能、数量的检验不应视为最终检验。乙方检验的结果和细节在证书中加以说明，该检验费用由乙方负担。</w:t>
      </w:r>
    </w:p>
    <w:p w14:paraId="4F26582A">
      <w:pPr>
        <w:pStyle w:val="76"/>
        <w:numPr>
          <w:ilvl w:val="0"/>
          <w:numId w:val="14"/>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合同设备运抵甲方现场后，买卖双方共同对设备的规格、数量和重量进行检验。如发现设备的规格或数量与合同不符，甲方有权在设备运抵现场后90天内，依据检验结果或当地质检部门出具的检验证书向乙方提出索赔。</w:t>
      </w:r>
    </w:p>
    <w:p w14:paraId="0D112232">
      <w:pPr>
        <w:pStyle w:val="76"/>
        <w:numPr>
          <w:ilvl w:val="0"/>
          <w:numId w:val="14"/>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如果设备在条款8规定的质量保证期内证实设备是有缺陷的，包括潜在的缺陷或使用不符合要求的材料，甲方有权向乙方提出索赔。</w:t>
      </w:r>
    </w:p>
    <w:p w14:paraId="655990F5">
      <w:pPr>
        <w:pStyle w:val="76"/>
        <w:numPr>
          <w:ilvl w:val="0"/>
          <w:numId w:val="14"/>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甲方有权在设备制造过程中派人到乙方工厂对合同设备进行监造和检验，乙方应为甲方监造人员提供方便，若发现乙方使用的材料、外购件或制造工艺不符合国家相关标准或技术协议规定的内容，甲方应向乙方提供书面整改通知。乙方应采取措施予以整改，否则为乙方违约，甲方有权拒付货款。同时甲方有权因乙方违约而提出索赔直至终止合同。，甲方不承担由此造成的延期付款责任。</w:t>
      </w:r>
    </w:p>
    <w:p w14:paraId="381AFB12">
      <w:pPr>
        <w:pStyle w:val="76"/>
        <w:snapToGrid w:val="0"/>
        <w:spacing w:line="240" w:lineRule="atLeast"/>
        <w:ind w:left="567" w:firstLine="0" w:firstLineChars="0"/>
        <w:contextualSpacing/>
        <w:jc w:val="center"/>
        <w:outlineLvl w:val="0"/>
        <w:rPr>
          <w:rFonts w:hint="eastAsia" w:ascii="仿宋" w:hAnsi="仿宋" w:eastAsia="仿宋"/>
          <w:b/>
          <w:sz w:val="24"/>
          <w:szCs w:val="24"/>
        </w:rPr>
      </w:pPr>
    </w:p>
    <w:p w14:paraId="7E1EA2E0">
      <w:pPr>
        <w:pStyle w:val="76"/>
        <w:snapToGrid w:val="0"/>
        <w:spacing w:line="240" w:lineRule="atLeast"/>
        <w:ind w:left="567" w:firstLine="0" w:firstLineChars="0"/>
        <w:contextualSpacing/>
        <w:jc w:val="center"/>
        <w:outlineLvl w:val="0"/>
        <w:rPr>
          <w:rFonts w:hint="eastAsia" w:ascii="仿宋" w:hAnsi="仿宋" w:eastAsia="仿宋"/>
          <w:b/>
          <w:sz w:val="24"/>
          <w:szCs w:val="24"/>
        </w:rPr>
      </w:pPr>
      <w:r>
        <w:rPr>
          <w:rFonts w:hint="eastAsia" w:ascii="仿宋" w:hAnsi="仿宋" w:eastAsia="仿宋"/>
          <w:b/>
          <w:sz w:val="24"/>
          <w:szCs w:val="24"/>
        </w:rPr>
        <w:t>条款10索赔</w:t>
      </w:r>
    </w:p>
    <w:p w14:paraId="785B5432">
      <w:pPr>
        <w:pStyle w:val="76"/>
        <w:numPr>
          <w:ilvl w:val="0"/>
          <w:numId w:val="15"/>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乙方对合同设备与合同及技术要求不符负全部责任，乙方应按甲方同意的下述方法解决索赔事宜。免费更换有缺陷的零件、部件和设备，或修理缺陷部分，以达到合同规定的规格、质量和性能。乙方承担上述一切费用和风险并承担甲方遭受的一切损失费用。同时乙方应相应延长被更换设备的质量保证期。</w:t>
      </w:r>
    </w:p>
    <w:p w14:paraId="62BA06DC">
      <w:pPr>
        <w:pStyle w:val="76"/>
        <w:numPr>
          <w:ilvl w:val="0"/>
          <w:numId w:val="15"/>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甲方应将索赔要求及时通知乙方，乙方若有异议，在收到索赔通知单14天内提出书面异议。如果乙方在收到索赔通知后14天内未能予以答复，则视为乙方对索赔没有异议。若乙方未能在收到索赔通知后14天内处理索赔事宜，甲方有权从未付款中扣回索赔金额，同时保留进一步要求赔偿的权利。</w:t>
      </w:r>
    </w:p>
    <w:p w14:paraId="15A61A23">
      <w:pPr>
        <w:pStyle w:val="76"/>
        <w:numPr>
          <w:ilvl w:val="0"/>
          <w:numId w:val="15"/>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如属乙方设备质量原因导致的任何轻微的损坏，甲方第一时间通知乙方经过双方认可后，甲方可以自行修复，由此产生的所有费用由乙方承担。</w:t>
      </w:r>
    </w:p>
    <w:p w14:paraId="20457FFE">
      <w:pPr>
        <w:pStyle w:val="76"/>
        <w:numPr>
          <w:ilvl w:val="0"/>
          <w:numId w:val="15"/>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如属甲方使用不当造成损坏，乙方也有义务予以处理，费用由甲方承担。</w:t>
      </w:r>
    </w:p>
    <w:p w14:paraId="254BED7F">
      <w:pPr>
        <w:pStyle w:val="76"/>
        <w:numPr>
          <w:ilvl w:val="0"/>
          <w:numId w:val="15"/>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因乙方设备质量问题造成事故的，所有责任由乙方承担，给甲方造成损失的，乙方应当赔偿。</w:t>
      </w:r>
    </w:p>
    <w:p w14:paraId="6CE2D9C8">
      <w:pPr>
        <w:pStyle w:val="76"/>
        <w:numPr>
          <w:ilvl w:val="0"/>
          <w:numId w:val="15"/>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乙方在收到买、卖双方签订的合同后，17日内提供正式设计用图纸文件资料（即技术资料），技术资料一般以邮寄方式递交，每批技术资料交邮后，乙方应在24小时内将技术资料的交邮日期、邮单号、技术资料的详细清单、件数及重量、合同号等以传真或电子邮件通知甲方。</w:t>
      </w:r>
    </w:p>
    <w:p w14:paraId="55C9B3C8">
      <w:pPr>
        <w:pStyle w:val="76"/>
        <w:numPr>
          <w:ilvl w:val="0"/>
          <w:numId w:val="15"/>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乙方交付的技术资料以邮政部门提货通知单时间戳记为技术资料的实际交付日期，此日期将作为按合同对任何延期交付资料进行延期违约金计算的依据（每迟交一天，违约金为5000元整）。如果技术资料经甲方检查后发现有缺少、丢失或损坏，乙方应在收到甲方通知后10天内［对急用者应在5天内］免费向现场补充提供缺少、丢失或损坏的部分。如因甲方原因发生缺少、丢失或损坏，乙方应在接到甲方通知后10天内［对急用者应在5天内］，向现场补充提供缺少、丢失或损坏部，费用由甲方承担。</w:t>
      </w:r>
    </w:p>
    <w:p w14:paraId="3602EFAD">
      <w:pPr>
        <w:pStyle w:val="76"/>
        <w:numPr>
          <w:ilvl w:val="0"/>
          <w:numId w:val="15"/>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乙方向甲方开具合同总价税率为13%的增值税专用发票，若出现税务部门不认可的情况，乙方应在接到甲方通知之日起7日内予以更换，否则须向甲方支付单台设备总价20%的违约金，违约金直接从未付款中扣除。</w:t>
      </w:r>
    </w:p>
    <w:p w14:paraId="29B18888">
      <w:pPr>
        <w:pStyle w:val="76"/>
        <w:snapToGrid w:val="0"/>
        <w:spacing w:line="240" w:lineRule="atLeast"/>
        <w:ind w:left="567" w:firstLine="0" w:firstLineChars="0"/>
        <w:contextualSpacing/>
        <w:jc w:val="center"/>
        <w:outlineLvl w:val="0"/>
        <w:rPr>
          <w:rFonts w:hint="eastAsia" w:ascii="仿宋" w:hAnsi="仿宋" w:eastAsia="仿宋"/>
          <w:b/>
          <w:sz w:val="24"/>
          <w:szCs w:val="24"/>
        </w:rPr>
      </w:pPr>
    </w:p>
    <w:p w14:paraId="1ACF843A">
      <w:pPr>
        <w:pStyle w:val="76"/>
        <w:snapToGrid w:val="0"/>
        <w:spacing w:line="240" w:lineRule="atLeast"/>
        <w:ind w:left="567" w:firstLine="0" w:firstLineChars="0"/>
        <w:contextualSpacing/>
        <w:jc w:val="center"/>
        <w:outlineLvl w:val="0"/>
        <w:rPr>
          <w:rFonts w:hint="eastAsia" w:ascii="仿宋" w:hAnsi="仿宋" w:eastAsia="仿宋"/>
          <w:b/>
          <w:sz w:val="24"/>
          <w:szCs w:val="24"/>
        </w:rPr>
      </w:pPr>
      <w:r>
        <w:rPr>
          <w:rFonts w:hint="eastAsia" w:ascii="仿宋" w:hAnsi="仿宋" w:eastAsia="仿宋"/>
          <w:b/>
          <w:sz w:val="24"/>
          <w:szCs w:val="24"/>
        </w:rPr>
        <w:t>条款11逾期交货</w:t>
      </w:r>
    </w:p>
    <w:p w14:paraId="26106F1A">
      <w:pPr>
        <w:pStyle w:val="76"/>
        <w:numPr>
          <w:ilvl w:val="0"/>
          <w:numId w:val="16"/>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如果乙方未能按合同规定的时间到货并安装调试结束（不可抗力除外），甲方可根据情况决定是否延长交货期。若甲方同意延长交货期，每延迟1天，乙方按合同金额的0.5%向甲方支付违约金。</w:t>
      </w:r>
    </w:p>
    <w:p w14:paraId="5F82FD9A">
      <w:pPr>
        <w:pStyle w:val="76"/>
        <w:numPr>
          <w:ilvl w:val="0"/>
          <w:numId w:val="16"/>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若乙方延迟交货对甲方造成严重影响，或因乙方的延迟导致甲方不需向乙方购买该设备的，甲方有权视具体情况解除部分或全部合同，乙方应向甲方支付合同总金额</w:t>
      </w:r>
      <w:r>
        <w:rPr>
          <w:rFonts w:ascii="仿宋" w:hAnsi="仿宋" w:eastAsia="仿宋"/>
          <w:sz w:val="24"/>
          <w:szCs w:val="24"/>
        </w:rPr>
        <w:t>2</w:t>
      </w:r>
      <w:r>
        <w:rPr>
          <w:rFonts w:hint="eastAsia" w:ascii="仿宋" w:hAnsi="仿宋" w:eastAsia="仿宋"/>
          <w:sz w:val="24"/>
          <w:szCs w:val="24"/>
        </w:rPr>
        <w:t>0%的迟交货违约金，并赔偿由此给甲方造成的损失。</w:t>
      </w:r>
    </w:p>
    <w:p w14:paraId="3F47EFE3">
      <w:pPr>
        <w:pStyle w:val="76"/>
        <w:snapToGrid w:val="0"/>
        <w:spacing w:line="240" w:lineRule="atLeast"/>
        <w:ind w:left="567" w:firstLine="0" w:firstLineChars="0"/>
        <w:contextualSpacing/>
        <w:jc w:val="center"/>
        <w:outlineLvl w:val="0"/>
        <w:rPr>
          <w:rFonts w:hint="eastAsia" w:ascii="仿宋" w:hAnsi="仿宋" w:eastAsia="仿宋"/>
          <w:b/>
          <w:sz w:val="24"/>
          <w:szCs w:val="24"/>
        </w:rPr>
      </w:pPr>
    </w:p>
    <w:p w14:paraId="45CAA35E">
      <w:pPr>
        <w:pStyle w:val="76"/>
        <w:snapToGrid w:val="0"/>
        <w:spacing w:line="240" w:lineRule="atLeast"/>
        <w:ind w:left="567" w:firstLine="0" w:firstLineChars="0"/>
        <w:contextualSpacing/>
        <w:jc w:val="center"/>
        <w:outlineLvl w:val="0"/>
        <w:rPr>
          <w:rFonts w:hint="eastAsia" w:ascii="仿宋" w:hAnsi="仿宋" w:eastAsia="仿宋"/>
          <w:b/>
          <w:sz w:val="24"/>
          <w:szCs w:val="24"/>
        </w:rPr>
      </w:pPr>
      <w:r>
        <w:rPr>
          <w:rFonts w:hint="eastAsia" w:ascii="仿宋" w:hAnsi="仿宋" w:eastAsia="仿宋"/>
          <w:b/>
          <w:sz w:val="24"/>
          <w:szCs w:val="24"/>
        </w:rPr>
        <w:t>条款12不可抗力</w:t>
      </w:r>
    </w:p>
    <w:p w14:paraId="09EA2711">
      <w:pPr>
        <w:pStyle w:val="76"/>
        <w:numPr>
          <w:ilvl w:val="0"/>
          <w:numId w:val="17"/>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签约双方任一方由于受不可抗力事件的影响而不能执行合同时，履行合同的期限应予以延长，其延长的期限应相当于事件所影响的时间。不可抗力事件系指甲乙双方在执行本合同中任何一方不能控制和不能预见的，诸如战争、严重火灾、洪水、台风、地震等。</w:t>
      </w:r>
    </w:p>
    <w:p w14:paraId="76E96973">
      <w:pPr>
        <w:pStyle w:val="76"/>
        <w:numPr>
          <w:ilvl w:val="0"/>
          <w:numId w:val="17"/>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受阻一方应在不可抗力事件发生后尽快用传真或电传通知对方，并于事件发生后7天内将有关当局出具的证明文件用特快专递或挂号信寄给对方审阅确认，一旦不可抗力事件的影响持续30天以上，双方应通过友好协商并在一个月内达成进一步履行合同的协议。</w:t>
      </w:r>
    </w:p>
    <w:p w14:paraId="737F5C68">
      <w:pPr>
        <w:pStyle w:val="76"/>
        <w:snapToGrid w:val="0"/>
        <w:spacing w:line="240" w:lineRule="atLeast"/>
        <w:ind w:left="567" w:firstLine="0" w:firstLineChars="0"/>
        <w:contextualSpacing/>
        <w:jc w:val="center"/>
        <w:outlineLvl w:val="0"/>
        <w:rPr>
          <w:rFonts w:hint="eastAsia" w:ascii="仿宋" w:hAnsi="仿宋" w:eastAsia="仿宋"/>
          <w:b/>
          <w:sz w:val="24"/>
          <w:szCs w:val="24"/>
        </w:rPr>
      </w:pPr>
    </w:p>
    <w:p w14:paraId="7808F6E4">
      <w:pPr>
        <w:pStyle w:val="76"/>
        <w:snapToGrid w:val="0"/>
        <w:spacing w:line="240" w:lineRule="atLeast"/>
        <w:ind w:left="567" w:firstLine="0" w:firstLineChars="0"/>
        <w:contextualSpacing/>
        <w:jc w:val="center"/>
        <w:outlineLvl w:val="0"/>
        <w:rPr>
          <w:rFonts w:hint="eastAsia" w:ascii="仿宋" w:hAnsi="仿宋" w:eastAsia="仿宋"/>
          <w:b/>
          <w:sz w:val="24"/>
          <w:szCs w:val="24"/>
        </w:rPr>
      </w:pPr>
      <w:r>
        <w:rPr>
          <w:rFonts w:hint="eastAsia" w:ascii="仿宋" w:hAnsi="仿宋" w:eastAsia="仿宋"/>
          <w:b/>
          <w:sz w:val="24"/>
          <w:szCs w:val="24"/>
        </w:rPr>
        <w:t>条款13 合同争议解决的方式</w:t>
      </w:r>
    </w:p>
    <w:p w14:paraId="0AF48570">
      <w:pPr>
        <w:pStyle w:val="76"/>
        <w:numPr>
          <w:ilvl w:val="0"/>
          <w:numId w:val="18"/>
        </w:numPr>
        <w:spacing w:line="240" w:lineRule="atLeast"/>
        <w:ind w:left="567" w:hanging="567" w:firstLineChars="0"/>
        <w:jc w:val="left"/>
        <w:rPr>
          <w:rFonts w:hint="eastAsia" w:ascii="仿宋" w:hAnsi="仿宋" w:eastAsia="仿宋"/>
          <w:sz w:val="24"/>
          <w:szCs w:val="24"/>
        </w:rPr>
      </w:pPr>
      <w:r>
        <w:rPr>
          <w:rFonts w:hint="eastAsia" w:ascii="仿宋" w:hAnsi="仿宋" w:eastAsia="仿宋"/>
          <w:sz w:val="24"/>
          <w:szCs w:val="24"/>
        </w:rPr>
        <w:t>凡与本合同有关而引起的一切争议，双方应首先通过友好协商解决，如经协商后仍不能达成协议时，向甲方所在地有管辖权的人民法院提出诉讼。</w:t>
      </w:r>
    </w:p>
    <w:p w14:paraId="61AFCFDC">
      <w:pPr>
        <w:pStyle w:val="76"/>
        <w:numPr>
          <w:ilvl w:val="0"/>
          <w:numId w:val="18"/>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由上述过程发生的费用除法院判决另有规定外，应由败诉方承担。</w:t>
      </w:r>
    </w:p>
    <w:p w14:paraId="30C61146">
      <w:pPr>
        <w:pStyle w:val="76"/>
        <w:numPr>
          <w:ilvl w:val="0"/>
          <w:numId w:val="18"/>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在进行法院审理期间，除法院审理的部分外，合同其他部分仍应继续履行。</w:t>
      </w:r>
    </w:p>
    <w:p w14:paraId="399188EA">
      <w:pPr>
        <w:pStyle w:val="76"/>
        <w:snapToGrid w:val="0"/>
        <w:spacing w:line="240" w:lineRule="atLeast"/>
        <w:ind w:left="567" w:firstLine="0" w:firstLineChars="0"/>
        <w:contextualSpacing/>
        <w:jc w:val="center"/>
        <w:outlineLvl w:val="0"/>
        <w:rPr>
          <w:rFonts w:hint="eastAsia" w:ascii="仿宋" w:hAnsi="仿宋" w:eastAsia="仿宋"/>
          <w:b/>
          <w:sz w:val="24"/>
          <w:szCs w:val="24"/>
        </w:rPr>
      </w:pPr>
    </w:p>
    <w:p w14:paraId="1F3E54B9">
      <w:pPr>
        <w:pStyle w:val="76"/>
        <w:snapToGrid w:val="0"/>
        <w:spacing w:line="240" w:lineRule="atLeast"/>
        <w:ind w:left="567" w:firstLine="0" w:firstLineChars="0"/>
        <w:contextualSpacing/>
        <w:jc w:val="center"/>
        <w:outlineLvl w:val="0"/>
        <w:rPr>
          <w:rFonts w:hint="eastAsia" w:ascii="仿宋" w:hAnsi="仿宋" w:eastAsia="仿宋"/>
          <w:b/>
          <w:sz w:val="24"/>
          <w:szCs w:val="24"/>
        </w:rPr>
      </w:pPr>
      <w:r>
        <w:rPr>
          <w:rFonts w:hint="eastAsia" w:ascii="仿宋" w:hAnsi="仿宋" w:eastAsia="仿宋"/>
          <w:b/>
          <w:sz w:val="24"/>
          <w:szCs w:val="24"/>
        </w:rPr>
        <w:t>条款14适用法律</w:t>
      </w:r>
    </w:p>
    <w:p w14:paraId="3544FD46">
      <w:pPr>
        <w:pStyle w:val="76"/>
        <w:numPr>
          <w:ilvl w:val="0"/>
          <w:numId w:val="19"/>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本合同应按《中华人民共和国民法典》及相关法律解释。</w:t>
      </w:r>
    </w:p>
    <w:p w14:paraId="32B52585">
      <w:pPr>
        <w:pStyle w:val="76"/>
        <w:snapToGrid w:val="0"/>
        <w:spacing w:line="240" w:lineRule="atLeast"/>
        <w:ind w:left="567" w:firstLine="0" w:firstLineChars="0"/>
        <w:contextualSpacing/>
        <w:jc w:val="center"/>
        <w:outlineLvl w:val="0"/>
        <w:rPr>
          <w:rFonts w:hint="eastAsia" w:ascii="仿宋" w:hAnsi="仿宋" w:eastAsia="仿宋"/>
          <w:b/>
          <w:sz w:val="24"/>
          <w:szCs w:val="24"/>
        </w:rPr>
      </w:pPr>
    </w:p>
    <w:p w14:paraId="6A6D36E8">
      <w:pPr>
        <w:pStyle w:val="76"/>
        <w:snapToGrid w:val="0"/>
        <w:spacing w:line="240" w:lineRule="atLeast"/>
        <w:ind w:left="567" w:firstLine="0" w:firstLineChars="0"/>
        <w:contextualSpacing/>
        <w:jc w:val="center"/>
        <w:outlineLvl w:val="0"/>
        <w:rPr>
          <w:rFonts w:hint="eastAsia" w:ascii="仿宋" w:hAnsi="仿宋" w:eastAsia="仿宋"/>
          <w:b/>
          <w:sz w:val="24"/>
          <w:szCs w:val="24"/>
        </w:rPr>
      </w:pPr>
      <w:r>
        <w:rPr>
          <w:rFonts w:hint="eastAsia" w:ascii="仿宋" w:hAnsi="仿宋" w:eastAsia="仿宋"/>
          <w:b/>
          <w:sz w:val="24"/>
          <w:szCs w:val="24"/>
        </w:rPr>
        <w:t>条款15通知</w:t>
      </w:r>
    </w:p>
    <w:p w14:paraId="7AE04914">
      <w:pPr>
        <w:pStyle w:val="76"/>
        <w:numPr>
          <w:ilvl w:val="0"/>
          <w:numId w:val="20"/>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合同任何一方给另一方的通知都应以书面的形式发送，而另一方应以书面形式确认并发送到对方明确的地址。</w:t>
      </w:r>
    </w:p>
    <w:p w14:paraId="09608C90">
      <w:pPr>
        <w:pStyle w:val="76"/>
        <w:snapToGrid w:val="0"/>
        <w:spacing w:line="240" w:lineRule="atLeast"/>
        <w:ind w:left="567" w:firstLine="0" w:firstLineChars="0"/>
        <w:contextualSpacing/>
        <w:jc w:val="center"/>
        <w:outlineLvl w:val="0"/>
        <w:rPr>
          <w:rFonts w:hint="eastAsia" w:ascii="仿宋" w:hAnsi="仿宋" w:eastAsia="仿宋"/>
          <w:b/>
          <w:sz w:val="24"/>
          <w:szCs w:val="24"/>
        </w:rPr>
      </w:pPr>
    </w:p>
    <w:p w14:paraId="57FD335F">
      <w:pPr>
        <w:pStyle w:val="76"/>
        <w:snapToGrid w:val="0"/>
        <w:spacing w:line="240" w:lineRule="atLeast"/>
        <w:ind w:left="567" w:firstLine="0" w:firstLineChars="0"/>
        <w:contextualSpacing/>
        <w:jc w:val="center"/>
        <w:outlineLvl w:val="0"/>
        <w:rPr>
          <w:rFonts w:hint="eastAsia" w:ascii="仿宋" w:hAnsi="仿宋" w:eastAsia="仿宋"/>
          <w:b/>
          <w:sz w:val="24"/>
          <w:szCs w:val="24"/>
        </w:rPr>
      </w:pPr>
      <w:r>
        <w:rPr>
          <w:rFonts w:hint="eastAsia" w:ascii="仿宋" w:hAnsi="仿宋" w:eastAsia="仿宋"/>
          <w:b/>
          <w:sz w:val="24"/>
          <w:szCs w:val="24"/>
        </w:rPr>
        <w:t>条款16合同生效</w:t>
      </w:r>
    </w:p>
    <w:p w14:paraId="27A8B328">
      <w:pPr>
        <w:pStyle w:val="76"/>
        <w:numPr>
          <w:ilvl w:val="0"/>
          <w:numId w:val="21"/>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本合同自</w:t>
      </w:r>
      <w:r>
        <w:rPr>
          <w:rFonts w:hint="eastAsia" w:ascii="仿宋" w:hAnsi="仿宋" w:eastAsia="仿宋"/>
          <w:bCs/>
          <w:sz w:val="24"/>
          <w:szCs w:val="24"/>
        </w:rPr>
        <w:t>双方签字盖章之日起收到预付款后生效</w:t>
      </w:r>
      <w:r>
        <w:rPr>
          <w:rFonts w:hint="eastAsia" w:ascii="仿宋" w:hAnsi="仿宋" w:eastAsia="仿宋"/>
          <w:sz w:val="24"/>
          <w:szCs w:val="24"/>
        </w:rPr>
        <w:t>，至双方履行完各自义务索赔完毕时终止。</w:t>
      </w:r>
    </w:p>
    <w:p w14:paraId="0DEDD1BD">
      <w:pPr>
        <w:pStyle w:val="76"/>
        <w:numPr>
          <w:ilvl w:val="0"/>
          <w:numId w:val="21"/>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本合同一式六份，甲方四份，乙方二份。</w:t>
      </w:r>
    </w:p>
    <w:p w14:paraId="7793E8B8">
      <w:pPr>
        <w:pStyle w:val="76"/>
        <w:snapToGrid w:val="0"/>
        <w:spacing w:line="240" w:lineRule="atLeast"/>
        <w:ind w:left="567" w:firstLine="0" w:firstLineChars="0"/>
        <w:contextualSpacing/>
        <w:jc w:val="center"/>
        <w:outlineLvl w:val="0"/>
        <w:rPr>
          <w:rFonts w:hint="eastAsia" w:ascii="仿宋" w:hAnsi="仿宋" w:eastAsia="仿宋"/>
          <w:b/>
          <w:sz w:val="24"/>
          <w:szCs w:val="24"/>
        </w:rPr>
      </w:pPr>
    </w:p>
    <w:p w14:paraId="0053C95E">
      <w:pPr>
        <w:pStyle w:val="76"/>
        <w:snapToGrid w:val="0"/>
        <w:spacing w:line="240" w:lineRule="atLeast"/>
        <w:ind w:left="567" w:firstLine="0" w:firstLineChars="0"/>
        <w:contextualSpacing/>
        <w:jc w:val="center"/>
        <w:outlineLvl w:val="0"/>
        <w:rPr>
          <w:rFonts w:hint="eastAsia" w:ascii="仿宋" w:hAnsi="仿宋" w:eastAsia="仿宋"/>
          <w:b/>
          <w:sz w:val="24"/>
          <w:szCs w:val="24"/>
        </w:rPr>
      </w:pPr>
      <w:r>
        <w:rPr>
          <w:rFonts w:hint="eastAsia" w:ascii="仿宋" w:hAnsi="仿宋" w:eastAsia="仿宋"/>
          <w:b/>
          <w:sz w:val="24"/>
          <w:szCs w:val="24"/>
        </w:rPr>
        <w:t>条款 17其它约定事项</w:t>
      </w:r>
    </w:p>
    <w:p w14:paraId="2960CBA1">
      <w:pPr>
        <w:pStyle w:val="76"/>
        <w:numPr>
          <w:ilvl w:val="0"/>
          <w:numId w:val="22"/>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合同所附技术协议独立成文，与本合同具有同等法律效力。</w:t>
      </w:r>
    </w:p>
    <w:p w14:paraId="0170A6FA">
      <w:pPr>
        <w:pStyle w:val="76"/>
        <w:numPr>
          <w:ilvl w:val="0"/>
          <w:numId w:val="22"/>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未经甲方书面同意，乙方不得将本合同权利义务转让给第三方。</w:t>
      </w:r>
    </w:p>
    <w:p w14:paraId="59C26B42">
      <w:pPr>
        <w:pStyle w:val="76"/>
        <w:numPr>
          <w:ilvl w:val="0"/>
          <w:numId w:val="22"/>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甲方根据工程需要可以要求乙方提前交货，但要以书面形式提前通知乙方。</w:t>
      </w:r>
    </w:p>
    <w:p w14:paraId="1299A3CA">
      <w:pPr>
        <w:pStyle w:val="76"/>
        <w:numPr>
          <w:ilvl w:val="0"/>
          <w:numId w:val="22"/>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乙方提供的所有有关技术资料一式六份。</w:t>
      </w:r>
    </w:p>
    <w:p w14:paraId="2B2D2F09">
      <w:pPr>
        <w:pStyle w:val="76"/>
        <w:numPr>
          <w:ilvl w:val="0"/>
          <w:numId w:val="22"/>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乙方安装、调试人员应遵守甲方现场的各项规章制度并作好自我的安全防护措施，若由于自身原因造成不安全事件发生，一切责任由乙方承担。</w:t>
      </w:r>
    </w:p>
    <w:p w14:paraId="7F723E03">
      <w:pPr>
        <w:pStyle w:val="76"/>
        <w:numPr>
          <w:ilvl w:val="0"/>
          <w:numId w:val="22"/>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如果乙方破产或无清偿能力时，甲方可在任何时候以书面通知乙方终止合同。该终止合同将不损害或影响甲方已经采取或将要采取的补救措施的权利。</w:t>
      </w:r>
    </w:p>
    <w:p w14:paraId="5CC1FFCF">
      <w:pPr>
        <w:pStyle w:val="76"/>
        <w:numPr>
          <w:ilvl w:val="0"/>
          <w:numId w:val="22"/>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合同设备所需的外配套件虽然在合同中已有了约定，但在合同执行中若甲方发现这些外配套厂家所供的配套件可能影响合同设备的整体性能时，甲方有权要求更换外配套厂家，乙方不得以此为由要求增加费用。未经甲方同意，乙方不得私自更换外配套厂家。</w:t>
      </w:r>
    </w:p>
    <w:p w14:paraId="197F98D2">
      <w:pPr>
        <w:pStyle w:val="76"/>
        <w:numPr>
          <w:ilvl w:val="0"/>
          <w:numId w:val="22"/>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在合同执行过程中，若出现合同与技术协议有冲突的情况，以本合同为执行标准。本合同未涉及的部分，以技术协议为执行标准。</w:t>
      </w:r>
    </w:p>
    <w:p w14:paraId="4F1663FD">
      <w:pPr>
        <w:pStyle w:val="76"/>
        <w:numPr>
          <w:ilvl w:val="0"/>
          <w:numId w:val="22"/>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本合同为“交钥匙”合同，乙方负责供货安装、调试至满足合同及技术协议要求。</w:t>
      </w:r>
    </w:p>
    <w:p w14:paraId="2906C77D">
      <w:pPr>
        <w:pStyle w:val="76"/>
        <w:numPr>
          <w:ilvl w:val="0"/>
          <w:numId w:val="22"/>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未尽事宜，双方可签订补充协议。</w:t>
      </w:r>
    </w:p>
    <w:p w14:paraId="041FD371">
      <w:pPr>
        <w:pStyle w:val="76"/>
        <w:snapToGrid w:val="0"/>
        <w:spacing w:line="240" w:lineRule="atLeast"/>
        <w:ind w:firstLine="0" w:firstLineChars="0"/>
        <w:contextualSpacing/>
        <w:outlineLvl w:val="0"/>
        <w:rPr>
          <w:rFonts w:hint="eastAsia" w:ascii="仿宋" w:hAnsi="仿宋" w:eastAsia="仿宋"/>
          <w:b/>
          <w:sz w:val="24"/>
          <w:szCs w:val="24"/>
        </w:rPr>
      </w:pPr>
    </w:p>
    <w:p w14:paraId="53FF3F09">
      <w:pPr>
        <w:widowControl/>
        <w:spacing w:line="240" w:lineRule="atLeast"/>
        <w:rPr>
          <w:rFonts w:hint="eastAsia" w:ascii="仿宋" w:hAnsi="仿宋" w:eastAsia="仿宋"/>
          <w:b/>
          <w:sz w:val="44"/>
          <w:szCs w:val="44"/>
        </w:rPr>
      </w:pPr>
      <w:r>
        <w:rPr>
          <w:rFonts w:hint="eastAsia" w:ascii="仿宋" w:hAnsi="仿宋" w:eastAsia="仿宋"/>
          <w:b/>
          <w:sz w:val="44"/>
          <w:szCs w:val="44"/>
        </w:rPr>
        <w:t>签字页</w:t>
      </w:r>
    </w:p>
    <w:tbl>
      <w:tblPr>
        <w:tblStyle w:val="7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0C244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022223D3">
            <w:pPr>
              <w:spacing w:line="480" w:lineRule="auto"/>
              <w:contextualSpacing/>
              <w:rPr>
                <w:rFonts w:ascii="Arial" w:hAnsi="Arial" w:eastAsia="黑体" w:cs="Arial"/>
                <w:color w:val="000000"/>
                <w:kern w:val="0"/>
                <w:szCs w:val="21"/>
              </w:rPr>
            </w:pPr>
            <w:r>
              <w:rPr>
                <w:rFonts w:ascii="Arial" w:hAnsi="Arial" w:eastAsia="黑体" w:cs="Arial"/>
                <w:color w:val="000000"/>
                <w:kern w:val="0"/>
                <w:szCs w:val="21"/>
              </w:rPr>
              <w:t>甲方：</w:t>
            </w:r>
            <w:r>
              <w:rPr>
                <w:rFonts w:hint="eastAsia" w:ascii="Arial" w:hAnsi="Arial" w:eastAsia="黑体" w:cs="Arial"/>
                <w:color w:val="000000"/>
                <w:kern w:val="0"/>
                <w:szCs w:val="21"/>
              </w:rPr>
              <w:t>*******************</w:t>
            </w:r>
            <w:r>
              <w:rPr>
                <w:rFonts w:ascii="Arial" w:hAnsi="Arial" w:eastAsia="黑体" w:cs="Arial"/>
                <w:color w:val="000000"/>
                <w:kern w:val="0"/>
                <w:szCs w:val="21"/>
              </w:rPr>
              <w:t>有限公司</w:t>
            </w:r>
          </w:p>
        </w:tc>
        <w:tc>
          <w:tcPr>
            <w:tcW w:w="4261" w:type="dxa"/>
          </w:tcPr>
          <w:p w14:paraId="72C50A2D">
            <w:pPr>
              <w:spacing w:line="480" w:lineRule="auto"/>
              <w:contextualSpacing/>
              <w:rPr>
                <w:rFonts w:ascii="Arial" w:hAnsi="Arial" w:eastAsia="黑体" w:cs="Arial"/>
                <w:color w:val="000000"/>
                <w:kern w:val="0"/>
                <w:szCs w:val="21"/>
              </w:rPr>
            </w:pPr>
            <w:r>
              <w:rPr>
                <w:rFonts w:ascii="Arial" w:hAnsi="Arial" w:eastAsia="黑体" w:cs="Arial"/>
                <w:color w:val="000000"/>
                <w:kern w:val="0"/>
                <w:szCs w:val="21"/>
              </w:rPr>
              <w:t>乙方：</w:t>
            </w:r>
          </w:p>
        </w:tc>
      </w:tr>
      <w:tr w14:paraId="534FC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66BEF654">
            <w:pPr>
              <w:spacing w:line="480" w:lineRule="auto"/>
              <w:contextualSpacing/>
              <w:rPr>
                <w:rFonts w:ascii="Arial" w:hAnsi="Arial" w:eastAsia="黑体" w:cs="Arial"/>
                <w:color w:val="000000"/>
                <w:kern w:val="0"/>
                <w:sz w:val="20"/>
                <w:szCs w:val="21"/>
              </w:rPr>
            </w:pPr>
            <w:r>
              <w:rPr>
                <w:rFonts w:ascii="Arial" w:hAnsi="Arial" w:eastAsia="黑体" w:cs="Arial"/>
                <w:color w:val="000000"/>
                <w:kern w:val="0"/>
                <w:sz w:val="20"/>
                <w:szCs w:val="21"/>
              </w:rPr>
              <w:t>法定代表人或其委托代理人（签字）</w:t>
            </w:r>
          </w:p>
          <w:p w14:paraId="46FCEC40">
            <w:pPr>
              <w:spacing w:line="480" w:lineRule="auto"/>
              <w:contextualSpacing/>
              <w:rPr>
                <w:rFonts w:ascii="Arial" w:hAnsi="Arial" w:eastAsia="黑体" w:cs="Arial"/>
                <w:color w:val="000000"/>
                <w:kern w:val="0"/>
                <w:sz w:val="20"/>
                <w:szCs w:val="21"/>
              </w:rPr>
            </w:pPr>
          </w:p>
        </w:tc>
        <w:tc>
          <w:tcPr>
            <w:tcW w:w="4261" w:type="dxa"/>
          </w:tcPr>
          <w:p w14:paraId="70003720">
            <w:pPr>
              <w:spacing w:line="480" w:lineRule="auto"/>
              <w:contextualSpacing/>
              <w:rPr>
                <w:rFonts w:ascii="Arial" w:hAnsi="Arial" w:eastAsia="黑体" w:cs="Arial"/>
                <w:color w:val="000000"/>
                <w:kern w:val="0"/>
                <w:sz w:val="20"/>
                <w:szCs w:val="21"/>
              </w:rPr>
            </w:pPr>
            <w:r>
              <w:rPr>
                <w:rFonts w:ascii="Arial" w:hAnsi="Arial" w:eastAsia="黑体" w:cs="Arial"/>
                <w:color w:val="000000"/>
                <w:kern w:val="0"/>
                <w:sz w:val="20"/>
                <w:szCs w:val="21"/>
              </w:rPr>
              <w:t>法定代表人或其委托代理人（签字）</w:t>
            </w:r>
          </w:p>
        </w:tc>
      </w:tr>
      <w:tr w14:paraId="712E1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37465C48">
            <w:pPr>
              <w:spacing w:line="480" w:lineRule="auto"/>
              <w:contextualSpacing/>
              <w:rPr>
                <w:rFonts w:ascii="Arial" w:hAnsi="Arial" w:eastAsia="黑体" w:cs="Arial"/>
                <w:color w:val="000000"/>
                <w:kern w:val="0"/>
                <w:sz w:val="20"/>
                <w:szCs w:val="21"/>
              </w:rPr>
            </w:pPr>
            <w:r>
              <w:rPr>
                <w:rFonts w:ascii="Arial" w:hAnsi="Arial" w:eastAsia="黑体" w:cs="Arial"/>
                <w:color w:val="000000"/>
                <w:kern w:val="0"/>
                <w:sz w:val="20"/>
                <w:szCs w:val="21"/>
              </w:rPr>
              <w:t>签字日期：</w:t>
            </w:r>
          </w:p>
        </w:tc>
        <w:tc>
          <w:tcPr>
            <w:tcW w:w="4261" w:type="dxa"/>
          </w:tcPr>
          <w:p w14:paraId="214F1039">
            <w:pPr>
              <w:spacing w:line="480" w:lineRule="auto"/>
              <w:contextualSpacing/>
              <w:rPr>
                <w:rFonts w:ascii="Arial" w:hAnsi="Arial" w:eastAsia="黑体" w:cs="Arial"/>
                <w:color w:val="000000"/>
                <w:kern w:val="0"/>
                <w:sz w:val="20"/>
                <w:szCs w:val="21"/>
              </w:rPr>
            </w:pPr>
            <w:r>
              <w:rPr>
                <w:rFonts w:ascii="Arial" w:hAnsi="Arial" w:eastAsia="黑体" w:cs="Arial"/>
                <w:color w:val="000000"/>
                <w:kern w:val="0"/>
                <w:sz w:val="20"/>
                <w:szCs w:val="21"/>
              </w:rPr>
              <w:t>签字日期：</w:t>
            </w:r>
          </w:p>
        </w:tc>
      </w:tr>
      <w:tr w14:paraId="1C927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10CB9CC4">
            <w:pPr>
              <w:spacing w:line="480" w:lineRule="auto"/>
              <w:contextualSpacing/>
              <w:rPr>
                <w:rFonts w:ascii="Arial" w:hAnsi="Arial" w:eastAsia="黑体" w:cs="Arial"/>
                <w:color w:val="000000"/>
                <w:kern w:val="0"/>
                <w:sz w:val="20"/>
                <w:szCs w:val="21"/>
              </w:rPr>
            </w:pPr>
            <w:r>
              <w:rPr>
                <w:rFonts w:ascii="Arial" w:hAnsi="Arial" w:eastAsia="黑体" w:cs="Arial"/>
                <w:color w:val="000000"/>
                <w:kern w:val="0"/>
                <w:sz w:val="20"/>
                <w:szCs w:val="21"/>
              </w:rPr>
              <w:t>地址：</w:t>
            </w:r>
          </w:p>
        </w:tc>
        <w:tc>
          <w:tcPr>
            <w:tcW w:w="4261" w:type="dxa"/>
          </w:tcPr>
          <w:p w14:paraId="6E49B430">
            <w:pPr>
              <w:spacing w:line="480" w:lineRule="auto"/>
              <w:contextualSpacing/>
              <w:rPr>
                <w:rFonts w:ascii="Arial" w:hAnsi="Arial" w:eastAsia="黑体" w:cs="Arial"/>
                <w:color w:val="000000"/>
                <w:kern w:val="0"/>
                <w:sz w:val="20"/>
                <w:szCs w:val="21"/>
              </w:rPr>
            </w:pPr>
            <w:r>
              <w:rPr>
                <w:rFonts w:ascii="Arial" w:hAnsi="Arial" w:eastAsia="黑体" w:cs="Arial"/>
                <w:color w:val="000000"/>
                <w:kern w:val="0"/>
                <w:sz w:val="20"/>
                <w:szCs w:val="21"/>
              </w:rPr>
              <w:t>地址：</w:t>
            </w:r>
          </w:p>
        </w:tc>
      </w:tr>
      <w:tr w14:paraId="0F980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3AD1D0F3">
            <w:pPr>
              <w:spacing w:line="480" w:lineRule="auto"/>
              <w:contextualSpacing/>
              <w:rPr>
                <w:rFonts w:ascii="Arial" w:hAnsi="Arial" w:eastAsia="黑体" w:cs="Arial"/>
                <w:color w:val="000000"/>
                <w:kern w:val="0"/>
                <w:sz w:val="20"/>
                <w:szCs w:val="21"/>
              </w:rPr>
            </w:pPr>
            <w:r>
              <w:rPr>
                <w:rFonts w:ascii="Arial" w:hAnsi="Arial" w:eastAsia="黑体" w:cs="Arial"/>
                <w:color w:val="000000"/>
                <w:kern w:val="0"/>
                <w:sz w:val="20"/>
                <w:szCs w:val="21"/>
              </w:rPr>
              <w:t>电话：</w:t>
            </w:r>
          </w:p>
        </w:tc>
        <w:tc>
          <w:tcPr>
            <w:tcW w:w="4261" w:type="dxa"/>
          </w:tcPr>
          <w:p w14:paraId="1E49C85B">
            <w:pPr>
              <w:spacing w:line="480" w:lineRule="auto"/>
              <w:contextualSpacing/>
              <w:rPr>
                <w:rFonts w:ascii="Arial" w:hAnsi="Arial" w:eastAsia="黑体" w:cs="Arial"/>
                <w:color w:val="000000"/>
                <w:kern w:val="0"/>
                <w:sz w:val="20"/>
                <w:szCs w:val="21"/>
              </w:rPr>
            </w:pPr>
            <w:r>
              <w:rPr>
                <w:rFonts w:ascii="Arial" w:hAnsi="Arial" w:eastAsia="黑体" w:cs="Arial"/>
                <w:color w:val="000000"/>
                <w:kern w:val="0"/>
                <w:sz w:val="20"/>
                <w:szCs w:val="21"/>
              </w:rPr>
              <w:t>电话：</w:t>
            </w:r>
          </w:p>
        </w:tc>
      </w:tr>
      <w:tr w14:paraId="610E7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56994D98">
            <w:pPr>
              <w:spacing w:line="480" w:lineRule="auto"/>
              <w:contextualSpacing/>
              <w:rPr>
                <w:rFonts w:ascii="Arial" w:hAnsi="Arial" w:eastAsia="黑体" w:cs="Arial"/>
                <w:color w:val="000000"/>
                <w:kern w:val="0"/>
                <w:sz w:val="20"/>
                <w:szCs w:val="21"/>
              </w:rPr>
            </w:pPr>
            <w:r>
              <w:rPr>
                <w:rFonts w:ascii="Arial" w:hAnsi="Arial" w:eastAsia="黑体" w:cs="Arial"/>
                <w:color w:val="000000"/>
                <w:kern w:val="0"/>
                <w:sz w:val="20"/>
                <w:szCs w:val="21"/>
              </w:rPr>
              <w:t>传真：</w:t>
            </w:r>
          </w:p>
        </w:tc>
        <w:tc>
          <w:tcPr>
            <w:tcW w:w="4261" w:type="dxa"/>
          </w:tcPr>
          <w:p w14:paraId="5242A05A">
            <w:pPr>
              <w:spacing w:line="480" w:lineRule="auto"/>
              <w:contextualSpacing/>
              <w:rPr>
                <w:rFonts w:ascii="Arial" w:hAnsi="Arial" w:eastAsia="黑体" w:cs="Arial"/>
                <w:color w:val="000000"/>
                <w:kern w:val="0"/>
                <w:sz w:val="20"/>
                <w:szCs w:val="21"/>
              </w:rPr>
            </w:pPr>
            <w:r>
              <w:rPr>
                <w:rFonts w:ascii="Arial" w:hAnsi="Arial" w:eastAsia="黑体" w:cs="Arial"/>
                <w:color w:val="000000"/>
                <w:kern w:val="0"/>
                <w:sz w:val="20"/>
                <w:szCs w:val="21"/>
              </w:rPr>
              <w:t>传真：</w:t>
            </w:r>
          </w:p>
        </w:tc>
      </w:tr>
      <w:tr w14:paraId="72D6C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vAlign w:val="center"/>
          </w:tcPr>
          <w:p w14:paraId="03285479">
            <w:pPr>
              <w:spacing w:line="480" w:lineRule="auto"/>
              <w:contextualSpacing/>
              <w:rPr>
                <w:rFonts w:ascii="Arial" w:hAnsi="Arial" w:eastAsia="黑体" w:cs="Arial"/>
                <w:color w:val="000000"/>
                <w:kern w:val="0"/>
                <w:sz w:val="20"/>
                <w:szCs w:val="21"/>
              </w:rPr>
            </w:pPr>
            <w:r>
              <w:rPr>
                <w:rFonts w:ascii="Arial" w:hAnsi="Arial" w:eastAsia="黑体" w:cs="Arial"/>
                <w:color w:val="000000"/>
                <w:kern w:val="0"/>
                <w:sz w:val="20"/>
                <w:szCs w:val="21"/>
              </w:rPr>
              <w:t>开户银行及行号：</w:t>
            </w:r>
          </w:p>
        </w:tc>
        <w:tc>
          <w:tcPr>
            <w:tcW w:w="4261" w:type="dxa"/>
            <w:vAlign w:val="center"/>
          </w:tcPr>
          <w:p w14:paraId="3D3D46ED">
            <w:pPr>
              <w:spacing w:line="480" w:lineRule="auto"/>
              <w:contextualSpacing/>
              <w:rPr>
                <w:rFonts w:ascii="Arial" w:hAnsi="Arial" w:eastAsia="黑体" w:cs="Arial"/>
                <w:color w:val="000000"/>
                <w:kern w:val="0"/>
                <w:sz w:val="20"/>
                <w:szCs w:val="21"/>
              </w:rPr>
            </w:pPr>
            <w:r>
              <w:rPr>
                <w:rFonts w:ascii="Arial" w:hAnsi="Arial" w:eastAsia="黑体" w:cs="Arial"/>
                <w:color w:val="000000"/>
                <w:kern w:val="0"/>
                <w:sz w:val="20"/>
                <w:szCs w:val="21"/>
              </w:rPr>
              <w:t>开户银行及行号：</w:t>
            </w:r>
          </w:p>
        </w:tc>
      </w:tr>
      <w:tr w14:paraId="750A0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34E7A409">
            <w:pPr>
              <w:spacing w:line="480" w:lineRule="auto"/>
              <w:contextualSpacing/>
              <w:rPr>
                <w:rFonts w:ascii="Arial" w:hAnsi="Arial" w:eastAsia="黑体" w:cs="Arial"/>
                <w:color w:val="000000"/>
                <w:kern w:val="0"/>
                <w:sz w:val="20"/>
                <w:szCs w:val="21"/>
              </w:rPr>
            </w:pPr>
            <w:r>
              <w:rPr>
                <w:rFonts w:ascii="Arial" w:hAnsi="Arial" w:eastAsia="黑体" w:cs="Arial"/>
                <w:color w:val="000000"/>
                <w:kern w:val="0"/>
                <w:sz w:val="20"/>
                <w:szCs w:val="21"/>
              </w:rPr>
              <w:t>账号：</w:t>
            </w:r>
          </w:p>
        </w:tc>
        <w:tc>
          <w:tcPr>
            <w:tcW w:w="4261" w:type="dxa"/>
          </w:tcPr>
          <w:p w14:paraId="358CC90F">
            <w:pPr>
              <w:spacing w:line="480" w:lineRule="auto"/>
              <w:contextualSpacing/>
              <w:rPr>
                <w:rFonts w:ascii="Arial" w:hAnsi="Arial" w:eastAsia="黑体" w:cs="Arial"/>
                <w:color w:val="000000"/>
                <w:kern w:val="0"/>
                <w:sz w:val="20"/>
                <w:szCs w:val="21"/>
              </w:rPr>
            </w:pPr>
            <w:r>
              <w:rPr>
                <w:rFonts w:ascii="Arial" w:hAnsi="Arial" w:eastAsia="黑体" w:cs="Arial"/>
                <w:color w:val="000000"/>
                <w:kern w:val="0"/>
                <w:sz w:val="20"/>
                <w:szCs w:val="21"/>
              </w:rPr>
              <w:t>账号：</w:t>
            </w:r>
          </w:p>
        </w:tc>
      </w:tr>
    </w:tbl>
    <w:p w14:paraId="77474067">
      <w:pPr>
        <w:spacing w:line="520" w:lineRule="exact"/>
        <w:rPr>
          <w:rFonts w:hint="eastAsia" w:ascii="仿宋" w:hAnsi="仿宋" w:eastAsia="仿宋"/>
          <w:sz w:val="28"/>
          <w:szCs w:val="32"/>
        </w:rPr>
      </w:pPr>
    </w:p>
    <w:p w14:paraId="037E9673">
      <w:pPr>
        <w:spacing w:line="520" w:lineRule="exact"/>
        <w:rPr>
          <w:rFonts w:hint="eastAsia" w:ascii="仿宋" w:hAnsi="仿宋" w:eastAsia="仿宋"/>
          <w:sz w:val="28"/>
          <w:szCs w:val="32"/>
        </w:rPr>
      </w:pPr>
    </w:p>
    <w:p w14:paraId="2A5E63F7">
      <w:pPr>
        <w:spacing w:line="520" w:lineRule="exact"/>
        <w:rPr>
          <w:rFonts w:hint="eastAsia" w:ascii="仿宋" w:hAnsi="仿宋" w:eastAsia="仿宋"/>
          <w:sz w:val="28"/>
          <w:szCs w:val="32"/>
        </w:rPr>
      </w:pPr>
      <w:r>
        <w:rPr>
          <w:rFonts w:hint="eastAsia" w:ascii="仿宋" w:hAnsi="仿宋" w:eastAsia="仿宋"/>
          <w:sz w:val="28"/>
          <w:szCs w:val="32"/>
        </w:rPr>
        <w:t>附件7 差异回复：（投标人若对招标要求有异议，可将差异填写在如下表格中，如无差异直接在报价中签字确认）</w:t>
      </w:r>
    </w:p>
    <w:p w14:paraId="022DB853">
      <w:pPr>
        <w:spacing w:line="300" w:lineRule="exact"/>
        <w:rPr>
          <w:rFonts w:hint="eastAsia" w:ascii="仿宋" w:hAnsi="仿宋" w:eastAsia="仿宋"/>
          <w:sz w:val="28"/>
          <w:szCs w:val="32"/>
        </w:rPr>
      </w:pPr>
    </w:p>
    <w:tbl>
      <w:tblPr>
        <w:tblStyle w:val="4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1"/>
        <w:gridCol w:w="891"/>
        <w:gridCol w:w="3392"/>
        <w:gridCol w:w="777"/>
        <w:gridCol w:w="2571"/>
      </w:tblGrid>
      <w:tr w14:paraId="241AE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exact"/>
        </w:trPr>
        <w:tc>
          <w:tcPr>
            <w:tcW w:w="523" w:type="pct"/>
            <w:vMerge w:val="restart"/>
            <w:vAlign w:val="center"/>
          </w:tcPr>
          <w:p w14:paraId="2F050778">
            <w:pPr>
              <w:pStyle w:val="26"/>
              <w:spacing w:line="240" w:lineRule="atLeast"/>
              <w:jc w:val="center"/>
              <w:rPr>
                <w:rFonts w:hint="eastAsia" w:hAnsi="宋体" w:cs="宋体"/>
                <w:color w:val="000000"/>
                <w:kern w:val="0"/>
                <w:sz w:val="24"/>
                <w:szCs w:val="24"/>
              </w:rPr>
            </w:pPr>
            <w:r>
              <w:rPr>
                <w:rFonts w:hint="eastAsia" w:hAnsi="宋体" w:cs="宋体"/>
                <w:color w:val="000000"/>
                <w:kern w:val="0"/>
                <w:sz w:val="24"/>
                <w:szCs w:val="24"/>
              </w:rPr>
              <w:t>序号</w:t>
            </w:r>
          </w:p>
        </w:tc>
        <w:tc>
          <w:tcPr>
            <w:tcW w:w="2513" w:type="pct"/>
            <w:gridSpan w:val="2"/>
            <w:vAlign w:val="center"/>
          </w:tcPr>
          <w:p w14:paraId="6EFC4CBA">
            <w:pPr>
              <w:pStyle w:val="26"/>
              <w:spacing w:line="240" w:lineRule="atLeast"/>
              <w:jc w:val="center"/>
              <w:rPr>
                <w:rFonts w:hint="eastAsia" w:hAnsi="宋体" w:cs="宋体"/>
                <w:color w:val="000000"/>
                <w:kern w:val="0"/>
                <w:sz w:val="24"/>
                <w:szCs w:val="24"/>
              </w:rPr>
            </w:pPr>
            <w:r>
              <w:rPr>
                <w:rFonts w:hint="eastAsia" w:hAnsi="宋体" w:cs="宋体"/>
                <w:color w:val="000000"/>
                <w:kern w:val="0"/>
                <w:sz w:val="24"/>
                <w:szCs w:val="24"/>
              </w:rPr>
              <w:t>招标文件</w:t>
            </w:r>
          </w:p>
        </w:tc>
        <w:tc>
          <w:tcPr>
            <w:tcW w:w="1964" w:type="pct"/>
            <w:gridSpan w:val="2"/>
            <w:vAlign w:val="center"/>
          </w:tcPr>
          <w:p w14:paraId="60186D03">
            <w:pPr>
              <w:pStyle w:val="26"/>
              <w:spacing w:line="240" w:lineRule="atLeast"/>
              <w:jc w:val="center"/>
              <w:rPr>
                <w:rFonts w:hint="eastAsia" w:hAnsi="宋体" w:cs="宋体"/>
                <w:color w:val="000000"/>
                <w:kern w:val="0"/>
                <w:sz w:val="24"/>
                <w:szCs w:val="24"/>
              </w:rPr>
            </w:pPr>
            <w:r>
              <w:rPr>
                <w:rFonts w:hint="eastAsia" w:hAnsi="宋体" w:cs="宋体"/>
                <w:color w:val="000000"/>
                <w:kern w:val="0"/>
                <w:sz w:val="24"/>
                <w:szCs w:val="24"/>
              </w:rPr>
              <w:t>投标文件</w:t>
            </w:r>
          </w:p>
        </w:tc>
      </w:tr>
      <w:tr w14:paraId="163DD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523" w:type="pct"/>
            <w:vMerge w:val="continue"/>
            <w:vAlign w:val="center"/>
          </w:tcPr>
          <w:p w14:paraId="36FF2C9E">
            <w:pPr>
              <w:pStyle w:val="26"/>
              <w:spacing w:line="240" w:lineRule="atLeast"/>
              <w:jc w:val="center"/>
              <w:rPr>
                <w:rFonts w:hint="eastAsia" w:hAnsi="宋体" w:cs="宋体"/>
                <w:color w:val="000000"/>
                <w:kern w:val="0"/>
                <w:sz w:val="24"/>
                <w:szCs w:val="24"/>
              </w:rPr>
            </w:pPr>
          </w:p>
        </w:tc>
        <w:tc>
          <w:tcPr>
            <w:tcW w:w="523" w:type="pct"/>
            <w:vAlign w:val="center"/>
          </w:tcPr>
          <w:p w14:paraId="765F724D">
            <w:pPr>
              <w:pStyle w:val="26"/>
              <w:spacing w:line="240" w:lineRule="atLeast"/>
              <w:jc w:val="center"/>
              <w:rPr>
                <w:rFonts w:hint="eastAsia" w:hAnsi="宋体" w:cs="宋体"/>
                <w:color w:val="000000"/>
                <w:kern w:val="0"/>
                <w:sz w:val="24"/>
                <w:szCs w:val="24"/>
              </w:rPr>
            </w:pPr>
            <w:r>
              <w:rPr>
                <w:rFonts w:hint="eastAsia" w:hAnsi="宋体" w:cs="宋体"/>
                <w:color w:val="000000"/>
                <w:kern w:val="0"/>
                <w:sz w:val="24"/>
                <w:szCs w:val="24"/>
              </w:rPr>
              <w:t>条目</w:t>
            </w:r>
          </w:p>
        </w:tc>
        <w:tc>
          <w:tcPr>
            <w:tcW w:w="1989" w:type="pct"/>
            <w:vAlign w:val="center"/>
          </w:tcPr>
          <w:p w14:paraId="46B0EA0F">
            <w:pPr>
              <w:pStyle w:val="26"/>
              <w:spacing w:line="240" w:lineRule="atLeast"/>
              <w:jc w:val="center"/>
              <w:rPr>
                <w:rFonts w:hint="eastAsia" w:hAnsi="宋体" w:cs="宋体"/>
                <w:color w:val="000000"/>
                <w:kern w:val="0"/>
                <w:sz w:val="24"/>
                <w:szCs w:val="24"/>
              </w:rPr>
            </w:pPr>
            <w:r>
              <w:rPr>
                <w:rFonts w:hint="eastAsia" w:hAnsi="宋体" w:cs="宋体"/>
                <w:color w:val="000000"/>
                <w:kern w:val="0"/>
                <w:sz w:val="24"/>
                <w:szCs w:val="24"/>
              </w:rPr>
              <w:t>简要内容</w:t>
            </w:r>
          </w:p>
        </w:tc>
        <w:tc>
          <w:tcPr>
            <w:tcW w:w="456" w:type="pct"/>
            <w:vAlign w:val="center"/>
          </w:tcPr>
          <w:p w14:paraId="0C10257B">
            <w:pPr>
              <w:pStyle w:val="26"/>
              <w:spacing w:line="240" w:lineRule="atLeast"/>
              <w:jc w:val="center"/>
              <w:rPr>
                <w:rFonts w:hint="eastAsia" w:hAnsi="宋体" w:cs="宋体"/>
                <w:color w:val="000000"/>
                <w:kern w:val="0"/>
                <w:sz w:val="24"/>
                <w:szCs w:val="24"/>
              </w:rPr>
            </w:pPr>
            <w:r>
              <w:rPr>
                <w:rFonts w:hint="eastAsia" w:hAnsi="宋体" w:cs="宋体"/>
                <w:color w:val="000000"/>
                <w:kern w:val="0"/>
                <w:sz w:val="24"/>
                <w:szCs w:val="24"/>
              </w:rPr>
              <w:t>条目</w:t>
            </w:r>
          </w:p>
        </w:tc>
        <w:tc>
          <w:tcPr>
            <w:tcW w:w="1508" w:type="pct"/>
            <w:vAlign w:val="center"/>
          </w:tcPr>
          <w:p w14:paraId="627AA5F7">
            <w:pPr>
              <w:pStyle w:val="26"/>
              <w:spacing w:line="240" w:lineRule="atLeast"/>
              <w:jc w:val="center"/>
              <w:rPr>
                <w:rFonts w:hint="eastAsia" w:hAnsi="宋体" w:cs="宋体"/>
                <w:color w:val="000000"/>
                <w:kern w:val="0"/>
                <w:sz w:val="24"/>
                <w:szCs w:val="24"/>
              </w:rPr>
            </w:pPr>
            <w:r>
              <w:rPr>
                <w:rFonts w:hint="eastAsia" w:hAnsi="宋体" w:cs="宋体"/>
                <w:color w:val="000000"/>
                <w:kern w:val="0"/>
                <w:sz w:val="24"/>
                <w:szCs w:val="24"/>
              </w:rPr>
              <w:t>简要内容</w:t>
            </w:r>
          </w:p>
        </w:tc>
      </w:tr>
      <w:tr w14:paraId="5BD34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23" w:type="pct"/>
            <w:vAlign w:val="center"/>
          </w:tcPr>
          <w:p w14:paraId="5E582F9F">
            <w:pPr>
              <w:pStyle w:val="26"/>
              <w:spacing w:line="240" w:lineRule="atLeast"/>
              <w:rPr>
                <w:rFonts w:hint="eastAsia" w:hAnsi="宋体" w:cs="宋体"/>
                <w:color w:val="000000"/>
                <w:kern w:val="0"/>
                <w:sz w:val="24"/>
                <w:szCs w:val="24"/>
              </w:rPr>
            </w:pPr>
          </w:p>
        </w:tc>
        <w:tc>
          <w:tcPr>
            <w:tcW w:w="523" w:type="pct"/>
            <w:vAlign w:val="center"/>
          </w:tcPr>
          <w:p w14:paraId="7827C64B">
            <w:pPr>
              <w:pStyle w:val="26"/>
              <w:spacing w:line="240" w:lineRule="atLeast"/>
              <w:rPr>
                <w:rFonts w:hint="eastAsia" w:hAnsi="宋体" w:cs="宋体"/>
                <w:color w:val="000000"/>
                <w:kern w:val="0"/>
                <w:sz w:val="24"/>
                <w:szCs w:val="24"/>
              </w:rPr>
            </w:pPr>
          </w:p>
        </w:tc>
        <w:tc>
          <w:tcPr>
            <w:tcW w:w="1989" w:type="pct"/>
            <w:vAlign w:val="center"/>
          </w:tcPr>
          <w:p w14:paraId="28EF1BCA">
            <w:pPr>
              <w:pStyle w:val="26"/>
              <w:spacing w:line="240" w:lineRule="atLeast"/>
              <w:rPr>
                <w:rFonts w:hint="eastAsia" w:hAnsi="宋体" w:cs="宋体"/>
                <w:color w:val="000000"/>
                <w:kern w:val="0"/>
                <w:sz w:val="24"/>
                <w:szCs w:val="24"/>
              </w:rPr>
            </w:pPr>
          </w:p>
        </w:tc>
        <w:tc>
          <w:tcPr>
            <w:tcW w:w="456" w:type="pct"/>
            <w:vAlign w:val="center"/>
          </w:tcPr>
          <w:p w14:paraId="7809E7A0">
            <w:pPr>
              <w:pStyle w:val="26"/>
              <w:spacing w:line="240" w:lineRule="atLeast"/>
              <w:rPr>
                <w:rFonts w:hint="eastAsia" w:hAnsi="宋体" w:cs="宋体"/>
                <w:color w:val="000000"/>
                <w:kern w:val="0"/>
                <w:sz w:val="24"/>
                <w:szCs w:val="24"/>
              </w:rPr>
            </w:pPr>
          </w:p>
        </w:tc>
        <w:tc>
          <w:tcPr>
            <w:tcW w:w="1508" w:type="pct"/>
            <w:vAlign w:val="center"/>
          </w:tcPr>
          <w:p w14:paraId="2F07DDC3">
            <w:pPr>
              <w:pStyle w:val="26"/>
              <w:spacing w:line="240" w:lineRule="atLeast"/>
              <w:rPr>
                <w:rFonts w:hint="eastAsia" w:hAnsi="宋体" w:cs="宋体"/>
                <w:color w:val="000000"/>
                <w:kern w:val="0"/>
                <w:sz w:val="24"/>
                <w:szCs w:val="24"/>
              </w:rPr>
            </w:pPr>
          </w:p>
        </w:tc>
      </w:tr>
      <w:tr w14:paraId="1C553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523" w:type="pct"/>
            <w:vAlign w:val="center"/>
          </w:tcPr>
          <w:p w14:paraId="5340989C">
            <w:pPr>
              <w:pStyle w:val="26"/>
              <w:spacing w:line="240" w:lineRule="atLeast"/>
              <w:rPr>
                <w:rFonts w:hint="eastAsia" w:hAnsi="宋体" w:cs="宋体"/>
                <w:color w:val="000000"/>
                <w:kern w:val="0"/>
                <w:sz w:val="24"/>
                <w:szCs w:val="24"/>
              </w:rPr>
            </w:pPr>
          </w:p>
        </w:tc>
        <w:tc>
          <w:tcPr>
            <w:tcW w:w="523" w:type="pct"/>
            <w:vAlign w:val="center"/>
          </w:tcPr>
          <w:p w14:paraId="702B858A">
            <w:pPr>
              <w:pStyle w:val="26"/>
              <w:spacing w:line="240" w:lineRule="atLeast"/>
              <w:rPr>
                <w:rFonts w:hint="eastAsia" w:hAnsi="宋体" w:cs="宋体"/>
                <w:color w:val="000000"/>
                <w:kern w:val="0"/>
                <w:sz w:val="24"/>
                <w:szCs w:val="24"/>
              </w:rPr>
            </w:pPr>
          </w:p>
        </w:tc>
        <w:tc>
          <w:tcPr>
            <w:tcW w:w="1989" w:type="pct"/>
            <w:vAlign w:val="center"/>
          </w:tcPr>
          <w:p w14:paraId="50AEFC6A">
            <w:pPr>
              <w:pStyle w:val="26"/>
              <w:spacing w:line="240" w:lineRule="atLeast"/>
              <w:rPr>
                <w:rFonts w:hint="eastAsia" w:hAnsi="宋体" w:cs="宋体"/>
                <w:color w:val="000000"/>
                <w:kern w:val="0"/>
                <w:sz w:val="24"/>
                <w:szCs w:val="24"/>
              </w:rPr>
            </w:pPr>
          </w:p>
        </w:tc>
        <w:tc>
          <w:tcPr>
            <w:tcW w:w="456" w:type="pct"/>
            <w:vAlign w:val="center"/>
          </w:tcPr>
          <w:p w14:paraId="64163CF5">
            <w:pPr>
              <w:pStyle w:val="26"/>
              <w:spacing w:line="240" w:lineRule="atLeast"/>
              <w:rPr>
                <w:rFonts w:hint="eastAsia" w:hAnsi="宋体" w:cs="宋体"/>
                <w:color w:val="000000"/>
                <w:kern w:val="0"/>
                <w:sz w:val="24"/>
                <w:szCs w:val="24"/>
              </w:rPr>
            </w:pPr>
          </w:p>
        </w:tc>
        <w:tc>
          <w:tcPr>
            <w:tcW w:w="1508" w:type="pct"/>
            <w:vAlign w:val="center"/>
          </w:tcPr>
          <w:p w14:paraId="442D63A9">
            <w:pPr>
              <w:pStyle w:val="26"/>
              <w:spacing w:line="240" w:lineRule="atLeast"/>
              <w:rPr>
                <w:rFonts w:hint="eastAsia" w:hAnsi="宋体" w:cs="宋体"/>
                <w:color w:val="000000"/>
                <w:kern w:val="0"/>
                <w:sz w:val="24"/>
                <w:szCs w:val="24"/>
              </w:rPr>
            </w:pPr>
          </w:p>
        </w:tc>
      </w:tr>
      <w:tr w14:paraId="006EB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23" w:type="pct"/>
            <w:vAlign w:val="center"/>
          </w:tcPr>
          <w:p w14:paraId="0B2D8E85">
            <w:pPr>
              <w:pStyle w:val="26"/>
              <w:spacing w:line="240" w:lineRule="atLeast"/>
              <w:rPr>
                <w:rFonts w:hint="eastAsia" w:hAnsi="宋体" w:cs="宋体"/>
                <w:color w:val="000000"/>
                <w:kern w:val="0"/>
                <w:sz w:val="24"/>
                <w:szCs w:val="24"/>
              </w:rPr>
            </w:pPr>
          </w:p>
        </w:tc>
        <w:tc>
          <w:tcPr>
            <w:tcW w:w="523" w:type="pct"/>
            <w:vAlign w:val="center"/>
          </w:tcPr>
          <w:p w14:paraId="6DC14E45">
            <w:pPr>
              <w:pStyle w:val="26"/>
              <w:spacing w:line="240" w:lineRule="atLeast"/>
              <w:rPr>
                <w:rFonts w:hint="eastAsia" w:hAnsi="宋体" w:cs="宋体"/>
                <w:color w:val="000000"/>
                <w:kern w:val="0"/>
                <w:sz w:val="24"/>
                <w:szCs w:val="24"/>
              </w:rPr>
            </w:pPr>
          </w:p>
        </w:tc>
        <w:tc>
          <w:tcPr>
            <w:tcW w:w="1989" w:type="pct"/>
            <w:vAlign w:val="center"/>
          </w:tcPr>
          <w:p w14:paraId="2BE4919F">
            <w:pPr>
              <w:pStyle w:val="26"/>
              <w:spacing w:line="240" w:lineRule="atLeast"/>
              <w:rPr>
                <w:rFonts w:hint="eastAsia" w:hAnsi="宋体" w:cs="宋体"/>
                <w:color w:val="000000"/>
                <w:kern w:val="0"/>
                <w:sz w:val="24"/>
                <w:szCs w:val="24"/>
              </w:rPr>
            </w:pPr>
          </w:p>
        </w:tc>
        <w:tc>
          <w:tcPr>
            <w:tcW w:w="456" w:type="pct"/>
            <w:vAlign w:val="center"/>
          </w:tcPr>
          <w:p w14:paraId="7AB3519B">
            <w:pPr>
              <w:pStyle w:val="26"/>
              <w:spacing w:line="240" w:lineRule="atLeast"/>
              <w:rPr>
                <w:rFonts w:hint="eastAsia" w:hAnsi="宋体" w:cs="宋体"/>
                <w:color w:val="000000"/>
                <w:kern w:val="0"/>
                <w:sz w:val="24"/>
                <w:szCs w:val="24"/>
              </w:rPr>
            </w:pPr>
          </w:p>
        </w:tc>
        <w:tc>
          <w:tcPr>
            <w:tcW w:w="1508" w:type="pct"/>
            <w:vAlign w:val="center"/>
          </w:tcPr>
          <w:p w14:paraId="4C4EA723">
            <w:pPr>
              <w:pStyle w:val="26"/>
              <w:spacing w:line="240" w:lineRule="atLeast"/>
              <w:rPr>
                <w:rFonts w:hint="eastAsia" w:hAnsi="宋体" w:cs="宋体"/>
                <w:color w:val="000000"/>
                <w:kern w:val="0"/>
                <w:sz w:val="24"/>
                <w:szCs w:val="24"/>
              </w:rPr>
            </w:pPr>
          </w:p>
        </w:tc>
      </w:tr>
    </w:tbl>
    <w:p w14:paraId="269D7AA3">
      <w:pPr>
        <w:spacing w:line="460" w:lineRule="exact"/>
        <w:rPr>
          <w:rFonts w:hint="eastAsia" w:ascii="仿宋" w:hAnsi="仿宋" w:eastAsia="仿宋"/>
          <w:sz w:val="28"/>
          <w:szCs w:val="28"/>
        </w:rPr>
      </w:pPr>
      <w:r>
        <w:rPr>
          <w:rFonts w:hint="eastAsia" w:ascii="仿宋" w:hAnsi="仿宋" w:eastAsia="仿宋"/>
          <w:sz w:val="28"/>
          <w:szCs w:val="28"/>
        </w:rPr>
        <w:br w:type="page"/>
      </w:r>
      <w:r>
        <w:rPr>
          <w:rFonts w:hint="eastAsia" w:ascii="仿宋" w:hAnsi="仿宋" w:eastAsia="仿宋"/>
          <w:sz w:val="28"/>
          <w:szCs w:val="28"/>
        </w:rPr>
        <w:t>附件7</w:t>
      </w:r>
      <w:r>
        <w:rPr>
          <w:rFonts w:ascii="仿宋" w:hAnsi="仿宋" w:eastAsia="仿宋"/>
          <w:sz w:val="28"/>
          <w:szCs w:val="28"/>
        </w:rPr>
        <w:t xml:space="preserve"> </w:t>
      </w:r>
      <w:r>
        <w:rPr>
          <w:rFonts w:hint="eastAsia" w:ascii="仿宋" w:hAnsi="仿宋" w:eastAsia="仿宋"/>
          <w:sz w:val="28"/>
          <w:szCs w:val="28"/>
        </w:rPr>
        <w:t>技术要求</w:t>
      </w:r>
    </w:p>
    <w:p w14:paraId="5339B2CE">
      <w:pPr>
        <w:pStyle w:val="235"/>
        <w:widowControl/>
        <w:tabs>
          <w:tab w:val="center" w:pos="4649"/>
          <w:tab w:val="right" w:pos="9299"/>
        </w:tabs>
        <w:adjustRightInd w:val="0"/>
        <w:spacing w:after="200" w:line="360" w:lineRule="auto"/>
        <w:jc w:val="both"/>
        <w:rPr>
          <w:rFonts w:hint="eastAsia" w:ascii="仿宋" w:hAnsi="仿宋" w:eastAsia="仿宋" w:cs="仿宋"/>
          <w:b/>
          <w:bCs/>
          <w:color w:val="000000"/>
          <w:kern w:val="0"/>
          <w:sz w:val="36"/>
          <w:szCs w:val="36"/>
          <w:lang w:val="en-US" w:eastAsia="zh-CN"/>
        </w:rPr>
      </w:pPr>
      <w:bookmarkStart w:id="3" w:name="_Toc24008135"/>
    </w:p>
    <w:p w14:paraId="107E26DF">
      <w:pPr>
        <w:pStyle w:val="235"/>
        <w:widowControl/>
        <w:tabs>
          <w:tab w:val="center" w:pos="4649"/>
          <w:tab w:val="right" w:pos="9299"/>
        </w:tabs>
        <w:adjustRightInd w:val="0"/>
        <w:spacing w:after="200" w:line="360" w:lineRule="auto"/>
        <w:jc w:val="center"/>
        <w:rPr>
          <w:rFonts w:hint="eastAsia" w:ascii="仿宋" w:hAnsi="仿宋" w:eastAsia="仿宋" w:cs="仿宋"/>
          <w:b/>
          <w:bCs/>
          <w:color w:val="000000"/>
          <w:kern w:val="0"/>
          <w:sz w:val="44"/>
          <w:szCs w:val="44"/>
          <w:highlight w:val="none"/>
        </w:rPr>
      </w:pPr>
      <w:r>
        <w:rPr>
          <w:rFonts w:hint="eastAsia" w:ascii="仿宋" w:hAnsi="仿宋" w:eastAsia="仿宋" w:cs="仿宋"/>
          <w:b/>
          <w:bCs/>
          <w:color w:val="000000"/>
          <w:kern w:val="0"/>
          <w:sz w:val="44"/>
          <w:szCs w:val="44"/>
          <w:lang w:val="en-US" w:eastAsia="zh-CN"/>
        </w:rPr>
        <w:t>洛阳万基宏远电力</w:t>
      </w:r>
      <w:r>
        <w:rPr>
          <w:rFonts w:hint="eastAsia" w:ascii="仿宋" w:hAnsi="仿宋" w:eastAsia="仿宋" w:cs="仿宋"/>
          <w:b/>
          <w:bCs/>
          <w:color w:val="000000"/>
          <w:kern w:val="0"/>
          <w:sz w:val="44"/>
          <w:szCs w:val="44"/>
        </w:rPr>
        <w:t>有限公司</w:t>
      </w:r>
    </w:p>
    <w:p w14:paraId="799AD2B8">
      <w:pPr>
        <w:pStyle w:val="235"/>
        <w:widowControl/>
        <w:tabs>
          <w:tab w:val="center" w:pos="4649"/>
          <w:tab w:val="right" w:pos="9299"/>
        </w:tabs>
        <w:adjustRightInd w:val="0"/>
        <w:spacing w:after="200" w:line="360" w:lineRule="auto"/>
        <w:jc w:val="center"/>
        <w:rPr>
          <w:rFonts w:hint="default" w:ascii="仿宋" w:hAnsi="仿宋" w:eastAsia="仿宋" w:cs="仿宋"/>
          <w:color w:val="000000"/>
          <w:kern w:val="0"/>
          <w:sz w:val="60"/>
          <w:szCs w:val="60"/>
          <w:highlight w:val="none"/>
          <w:lang w:val="en-US"/>
        </w:rPr>
      </w:pPr>
      <w:r>
        <w:rPr>
          <w:rFonts w:hint="eastAsia" w:ascii="仿宋" w:hAnsi="仿宋" w:eastAsia="仿宋" w:cs="仿宋"/>
          <w:b/>
          <w:bCs/>
          <w:color w:val="000000"/>
          <w:kern w:val="0"/>
          <w:sz w:val="44"/>
          <w:szCs w:val="44"/>
          <w:lang w:val="en-US" w:eastAsia="zh-CN"/>
        </w:rPr>
        <w:t>能耗在线监测建设技术规范书</w:t>
      </w:r>
    </w:p>
    <w:p w14:paraId="4FDE9E4F">
      <w:pPr>
        <w:widowControl/>
        <w:tabs>
          <w:tab w:val="center" w:pos="4649"/>
          <w:tab w:val="right" w:pos="9299"/>
        </w:tabs>
        <w:adjustRightInd w:val="0"/>
        <w:snapToGrid w:val="0"/>
        <w:spacing w:before="60" w:after="200" w:line="360" w:lineRule="auto"/>
        <w:ind w:left="0" w:leftChars="0" w:firstLine="0" w:firstLineChars="0"/>
        <w:jc w:val="both"/>
        <w:rPr>
          <w:rFonts w:hint="eastAsia" w:ascii="仿宋" w:hAnsi="仿宋" w:eastAsia="仿宋" w:cs="仿宋"/>
          <w:color w:val="000000"/>
          <w:kern w:val="0"/>
          <w:sz w:val="44"/>
          <w:szCs w:val="44"/>
          <w:highlight w:val="none"/>
          <w:lang w:val="en-US" w:eastAsia="zh-CN"/>
        </w:rPr>
      </w:pPr>
      <w:r>
        <w:rPr>
          <w:rFonts w:hint="eastAsia" w:ascii="仿宋" w:hAnsi="仿宋" w:eastAsia="仿宋" w:cs="仿宋"/>
          <w:color w:val="000000"/>
          <w:kern w:val="0"/>
          <w:sz w:val="44"/>
          <w:szCs w:val="44"/>
          <w:highlight w:val="none"/>
          <w:lang w:val="en-US" w:eastAsia="zh-CN"/>
        </w:rPr>
        <w:t xml:space="preserve">              </w:t>
      </w:r>
    </w:p>
    <w:p w14:paraId="0FD7A377">
      <w:pPr>
        <w:widowControl/>
        <w:tabs>
          <w:tab w:val="center" w:pos="4649"/>
          <w:tab w:val="right" w:pos="9299"/>
        </w:tabs>
        <w:adjustRightInd w:val="0"/>
        <w:snapToGrid w:val="0"/>
        <w:spacing w:before="60" w:after="200" w:line="360" w:lineRule="auto"/>
        <w:ind w:firstLine="2168" w:firstLineChars="600"/>
        <w:jc w:val="both"/>
        <w:rPr>
          <w:rFonts w:hint="eastAsia" w:ascii="仿宋" w:hAnsi="仿宋" w:eastAsia="仿宋" w:cs="仿宋"/>
          <w:b/>
          <w:bCs/>
          <w:color w:val="000000"/>
          <w:kern w:val="0"/>
          <w:sz w:val="36"/>
          <w:szCs w:val="36"/>
          <w:highlight w:val="none"/>
          <w:lang w:val="en-US" w:eastAsia="zh-CN"/>
        </w:rPr>
      </w:pPr>
      <w:r>
        <w:rPr>
          <w:rFonts w:hint="eastAsia" w:ascii="仿宋" w:hAnsi="仿宋" w:eastAsia="仿宋" w:cs="仿宋"/>
          <w:b/>
          <w:bCs/>
          <w:color w:val="000000"/>
          <w:kern w:val="0"/>
          <w:sz w:val="36"/>
          <w:szCs w:val="36"/>
          <w:highlight w:val="none"/>
          <w:lang w:val="en-US" w:eastAsia="zh-CN"/>
        </w:rPr>
        <w:t>批准：</w:t>
      </w:r>
    </w:p>
    <w:p w14:paraId="1F64FB9D">
      <w:pPr>
        <w:widowControl/>
        <w:tabs>
          <w:tab w:val="center" w:pos="4649"/>
          <w:tab w:val="right" w:pos="9299"/>
        </w:tabs>
        <w:adjustRightInd w:val="0"/>
        <w:snapToGrid w:val="0"/>
        <w:spacing w:before="60" w:after="200" w:line="360" w:lineRule="auto"/>
        <w:ind w:firstLine="2168" w:firstLineChars="600"/>
        <w:jc w:val="both"/>
        <w:rPr>
          <w:rFonts w:hint="eastAsia" w:ascii="仿宋" w:hAnsi="仿宋" w:eastAsia="仿宋" w:cs="仿宋"/>
          <w:b/>
          <w:bCs/>
          <w:color w:val="000000"/>
          <w:kern w:val="0"/>
          <w:sz w:val="36"/>
          <w:szCs w:val="36"/>
          <w:highlight w:val="none"/>
          <w:lang w:val="en-US" w:eastAsia="zh-CN"/>
        </w:rPr>
      </w:pPr>
    </w:p>
    <w:p w14:paraId="1BC27FFE">
      <w:pPr>
        <w:pStyle w:val="235"/>
        <w:widowControl/>
        <w:tabs>
          <w:tab w:val="center" w:pos="4649"/>
          <w:tab w:val="right" w:pos="9299"/>
        </w:tabs>
        <w:adjustRightInd w:val="0"/>
        <w:spacing w:after="200" w:line="360" w:lineRule="auto"/>
        <w:ind w:firstLine="2168" w:firstLineChars="600"/>
        <w:jc w:val="both"/>
        <w:rPr>
          <w:rFonts w:hint="eastAsia" w:ascii="仿宋" w:hAnsi="仿宋" w:eastAsia="仿宋" w:cs="仿宋"/>
          <w:b/>
          <w:bCs/>
          <w:color w:val="000000"/>
          <w:kern w:val="0"/>
          <w:sz w:val="36"/>
          <w:szCs w:val="36"/>
          <w:lang w:val="en-US" w:eastAsia="zh-CN"/>
        </w:rPr>
      </w:pPr>
      <w:r>
        <w:rPr>
          <w:rFonts w:hint="eastAsia" w:ascii="仿宋" w:hAnsi="仿宋" w:eastAsia="仿宋" w:cs="仿宋"/>
          <w:b/>
          <w:bCs/>
          <w:color w:val="000000"/>
          <w:kern w:val="0"/>
          <w:sz w:val="36"/>
          <w:szCs w:val="36"/>
          <w:lang w:val="en-US" w:eastAsia="zh-CN"/>
        </w:rPr>
        <w:t>审核;</w:t>
      </w:r>
    </w:p>
    <w:p w14:paraId="7AAADF70">
      <w:pPr>
        <w:pStyle w:val="235"/>
        <w:widowControl/>
        <w:tabs>
          <w:tab w:val="center" w:pos="4649"/>
          <w:tab w:val="right" w:pos="9299"/>
        </w:tabs>
        <w:adjustRightInd w:val="0"/>
        <w:spacing w:after="200" w:line="360" w:lineRule="auto"/>
        <w:ind w:firstLine="2168" w:firstLineChars="600"/>
        <w:jc w:val="both"/>
        <w:rPr>
          <w:rFonts w:hint="eastAsia" w:ascii="仿宋" w:hAnsi="仿宋" w:eastAsia="仿宋" w:cs="仿宋"/>
          <w:b/>
          <w:bCs/>
          <w:color w:val="000000"/>
          <w:kern w:val="0"/>
          <w:sz w:val="36"/>
          <w:szCs w:val="36"/>
          <w:lang w:val="en-US" w:eastAsia="zh-CN"/>
        </w:rPr>
      </w:pPr>
    </w:p>
    <w:p w14:paraId="6400B857">
      <w:pPr>
        <w:pStyle w:val="235"/>
        <w:widowControl/>
        <w:tabs>
          <w:tab w:val="center" w:pos="4649"/>
          <w:tab w:val="right" w:pos="9299"/>
        </w:tabs>
        <w:adjustRightInd w:val="0"/>
        <w:spacing w:after="200" w:line="360" w:lineRule="auto"/>
        <w:ind w:firstLine="2168" w:firstLineChars="600"/>
        <w:jc w:val="both"/>
        <w:rPr>
          <w:rFonts w:hint="eastAsia" w:ascii="仿宋" w:hAnsi="仿宋" w:eastAsia="仿宋" w:cs="仿宋"/>
          <w:b/>
          <w:bCs/>
          <w:color w:val="000000"/>
          <w:kern w:val="0"/>
          <w:sz w:val="36"/>
          <w:szCs w:val="36"/>
          <w:lang w:val="en-US" w:eastAsia="zh-CN"/>
        </w:rPr>
      </w:pPr>
      <w:r>
        <w:rPr>
          <w:rFonts w:hint="eastAsia" w:ascii="仿宋" w:hAnsi="仿宋" w:eastAsia="仿宋" w:cs="仿宋"/>
          <w:b/>
          <w:bCs/>
          <w:color w:val="000000"/>
          <w:kern w:val="0"/>
          <w:sz w:val="36"/>
          <w:szCs w:val="36"/>
          <w:lang w:val="en-US" w:eastAsia="zh-CN"/>
        </w:rPr>
        <w:t>编制：</w:t>
      </w:r>
    </w:p>
    <w:p w14:paraId="77A744C3">
      <w:pPr>
        <w:pStyle w:val="235"/>
        <w:widowControl/>
        <w:tabs>
          <w:tab w:val="center" w:pos="4649"/>
          <w:tab w:val="right" w:pos="9299"/>
        </w:tabs>
        <w:adjustRightInd w:val="0"/>
        <w:spacing w:after="200" w:line="360" w:lineRule="auto"/>
        <w:jc w:val="both"/>
        <w:rPr>
          <w:rFonts w:hint="eastAsia" w:ascii="仿宋" w:hAnsi="仿宋" w:eastAsia="仿宋" w:cs="仿宋"/>
          <w:color w:val="000000"/>
          <w:kern w:val="0"/>
          <w:sz w:val="44"/>
          <w:szCs w:val="44"/>
          <w:lang w:val="en-US" w:eastAsia="zh-CN"/>
        </w:rPr>
      </w:pPr>
    </w:p>
    <w:p w14:paraId="0A5C19E9">
      <w:pPr>
        <w:pStyle w:val="235"/>
        <w:widowControl/>
        <w:tabs>
          <w:tab w:val="center" w:pos="4649"/>
          <w:tab w:val="right" w:pos="9299"/>
        </w:tabs>
        <w:adjustRightInd w:val="0"/>
        <w:spacing w:after="200" w:line="360" w:lineRule="auto"/>
        <w:jc w:val="center"/>
        <w:rPr>
          <w:rFonts w:hint="eastAsia" w:ascii="仿宋" w:hAnsi="仿宋" w:eastAsia="仿宋" w:cs="仿宋"/>
          <w:b w:val="0"/>
          <w:bCs w:val="0"/>
          <w:color w:val="000000"/>
          <w:kern w:val="0"/>
          <w:sz w:val="44"/>
          <w:szCs w:val="44"/>
          <w:lang w:val="en-US" w:eastAsia="zh-CN" w:bidi="ar-SA"/>
        </w:rPr>
      </w:pPr>
      <w:r>
        <w:rPr>
          <w:rFonts w:hint="eastAsia" w:ascii="仿宋" w:hAnsi="仿宋" w:eastAsia="仿宋" w:cs="仿宋"/>
          <w:b/>
          <w:bCs/>
          <w:color w:val="000000"/>
          <w:kern w:val="0"/>
          <w:sz w:val="36"/>
          <w:szCs w:val="36"/>
          <w:lang w:val="en-US" w:eastAsia="zh-CN"/>
        </w:rPr>
        <w:t>洛阳万基宏远电力有限</w:t>
      </w:r>
      <w:r>
        <w:rPr>
          <w:rFonts w:hint="eastAsia" w:ascii="仿宋" w:hAnsi="仿宋" w:eastAsia="仿宋" w:cs="仿宋"/>
          <w:b/>
          <w:bCs/>
          <w:kern w:val="0"/>
          <w:sz w:val="36"/>
          <w:szCs w:val="36"/>
        </w:rPr>
        <w:t>公司</w:t>
      </w:r>
      <w:r>
        <w:rPr>
          <w:rFonts w:hint="eastAsia" w:ascii="仿宋" w:hAnsi="仿宋" w:eastAsia="仿宋" w:cs="仿宋"/>
          <w:b/>
          <w:bCs/>
          <w:kern w:val="0"/>
          <w:sz w:val="36"/>
          <w:szCs w:val="36"/>
          <w:lang w:val="en-US" w:eastAsia="zh-CN"/>
        </w:rPr>
        <w:t xml:space="preserve"> </w:t>
      </w:r>
    </w:p>
    <w:p w14:paraId="12CB3CAF">
      <w:pPr>
        <w:ind w:firstLine="2880" w:firstLineChars="800"/>
        <w:rPr>
          <w:rFonts w:hint="default" w:ascii="仿宋" w:hAnsi="仿宋" w:eastAsia="仿宋" w:cs="仿宋"/>
          <w:sz w:val="36"/>
          <w:szCs w:val="36"/>
          <w:lang w:val="en-US"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仿宋" w:hAnsi="仿宋" w:eastAsia="仿宋" w:cs="仿宋"/>
          <w:b w:val="0"/>
          <w:bCs w:val="0"/>
          <w:color w:val="000000"/>
          <w:kern w:val="0"/>
          <w:sz w:val="36"/>
          <w:szCs w:val="36"/>
          <w:lang w:val="en-US" w:eastAsia="zh-CN" w:bidi="ar-SA"/>
        </w:rPr>
        <w:t>2026年2月28日</w:t>
      </w:r>
    </w:p>
    <w:p w14:paraId="14A0CD37">
      <w:pPr>
        <w:pStyle w:val="131"/>
        <w:numPr>
          <w:ilvl w:val="0"/>
          <w:numId w:val="23"/>
        </w:numPr>
        <w:topLinePunct/>
        <w:spacing w:after="0" w:line="360" w:lineRule="auto"/>
        <w:outlineLvl w:val="0"/>
        <w:rPr>
          <w:rFonts w:hAnsi="宋体"/>
          <w:b/>
          <w:sz w:val="22"/>
          <w:szCs w:val="22"/>
          <w:shd w:val="clear" w:color="auto" w:fill="FFFFFF"/>
        </w:rPr>
      </w:pPr>
      <w:r>
        <w:rPr>
          <w:rFonts w:hAnsi="宋体"/>
          <w:b/>
          <w:sz w:val="22"/>
          <w:szCs w:val="22"/>
          <w:shd w:val="clear" w:color="auto" w:fill="FFFFFF"/>
        </w:rPr>
        <w:t>总则</w:t>
      </w:r>
      <w:bookmarkEnd w:id="3"/>
    </w:p>
    <w:p w14:paraId="77ED7026">
      <w:pPr>
        <w:spacing w:line="360" w:lineRule="auto"/>
      </w:pPr>
      <w:r>
        <w:rPr>
          <w:rFonts w:hint="eastAsia"/>
        </w:rPr>
        <w:t>1.1按照《国家发展改革委质检总局关于印发重点用能单位能耗在线监测系统推广建设工作方案的通知》（发改环资〔2017〕1711 号）规范和指导重点用能单位能耗在线监测系统建设，按照统一标准、互联互通、信息共享的建设原则要求，以及《河南省</w:t>
      </w:r>
      <w:bookmarkStart w:id="4" w:name="_Hlk526671767"/>
      <w:r>
        <w:rPr>
          <w:rFonts w:hint="eastAsia"/>
        </w:rPr>
        <w:t>重点用能单位能耗在线监测系统</w:t>
      </w:r>
      <w:bookmarkEnd w:id="4"/>
      <w:r>
        <w:rPr>
          <w:rFonts w:hint="eastAsia"/>
        </w:rPr>
        <w:t>推广建设工作方案》（豫经信资﹝2017﹞577号）要求，同时，2026年1月23日洛阳市发改委下发《关于加强重点用能单位节能管理的通知》要求2025年新列入的重点用能单位要建设能耗在线监测系统，并于2026年4月30日前要接入省平台。洛阳万基宏远电力有限公司2025年新增为重点用能单位，需要加快建设接入端能耗在线监测系统，实现与节能平台互联互通。通过计量仪表、工控系统等采集、汇总洛阳万基宏远电力有限公司能耗数据，将能源消费数据准确、完整、及时接入到省级平台，同时确保内部系统安全和数据安全。</w:t>
      </w:r>
    </w:p>
    <w:p w14:paraId="6AF45258">
      <w:pPr>
        <w:spacing w:line="360" w:lineRule="auto"/>
      </w:pPr>
      <w:r>
        <w:rPr>
          <w:rFonts w:hint="eastAsia"/>
        </w:rPr>
        <w:t>1. 2在本技术规范书中</w:t>
      </w:r>
      <w:r>
        <w:t>如果</w:t>
      </w:r>
      <w:r>
        <w:rPr>
          <w:rFonts w:hint="eastAsia"/>
        </w:rPr>
        <w:t>乙方</w:t>
      </w:r>
      <w:r>
        <w:t>没有以书面形式对本</w:t>
      </w:r>
      <w:r>
        <w:rPr>
          <w:rFonts w:hint="eastAsia"/>
        </w:rPr>
        <w:t>规范书</w:t>
      </w:r>
      <w:r>
        <w:t>的条文提出异议，则意味着</w:t>
      </w:r>
      <w:r>
        <w:rPr>
          <w:rFonts w:hint="eastAsia"/>
        </w:rPr>
        <w:t>乙方</w:t>
      </w:r>
      <w:r>
        <w:t>提供的</w:t>
      </w:r>
      <w:r>
        <w:rPr>
          <w:rFonts w:hint="eastAsia"/>
        </w:rPr>
        <w:t>施工质量</w:t>
      </w:r>
      <w:r>
        <w:t>完全符合本</w:t>
      </w:r>
      <w:r>
        <w:rPr>
          <w:rFonts w:hint="eastAsia"/>
        </w:rPr>
        <w:t>规范书</w:t>
      </w:r>
      <w:r>
        <w:t>的要求。如有异议，不管是多么微小，都应在</w:t>
      </w:r>
      <w:r>
        <w:rPr>
          <w:rFonts w:hint="eastAsia"/>
        </w:rPr>
        <w:t>技术文件书</w:t>
      </w:r>
      <w:r>
        <w:t>中加以详细描述。</w:t>
      </w:r>
    </w:p>
    <w:p w14:paraId="3A07F394">
      <w:pPr>
        <w:spacing w:line="360" w:lineRule="auto"/>
        <w:jc w:val="left"/>
        <w:rPr>
          <w:szCs w:val="21"/>
        </w:rPr>
      </w:pPr>
      <w:r>
        <w:rPr>
          <w:rFonts w:hint="eastAsia"/>
        </w:rPr>
        <w:t>1. 3</w:t>
      </w:r>
      <w:r>
        <w:rPr>
          <w:rFonts w:hint="eastAsia"/>
          <w:szCs w:val="21"/>
        </w:rPr>
        <w:t>本技术规范涉及到商务部分，以商务为准。</w:t>
      </w:r>
    </w:p>
    <w:p w14:paraId="5E18471C">
      <w:pPr>
        <w:spacing w:line="360" w:lineRule="auto"/>
        <w:jc w:val="left"/>
        <w:rPr>
          <w:b/>
          <w:bCs/>
          <w:szCs w:val="21"/>
        </w:rPr>
      </w:pPr>
      <w:r>
        <w:rPr>
          <w:rFonts w:hint="eastAsia"/>
          <w:b/>
          <w:bCs/>
          <w:szCs w:val="21"/>
        </w:rPr>
        <w:t>二、系统简介</w:t>
      </w:r>
    </w:p>
    <w:p w14:paraId="646CEEE9">
      <w:pPr>
        <w:spacing w:line="360" w:lineRule="auto"/>
      </w:pPr>
      <w:bookmarkStart w:id="5" w:name="_Toc26428700"/>
      <w:r>
        <w:rPr>
          <w:rFonts w:hint="eastAsia"/>
        </w:rPr>
        <w:t>2.1 能源管理现状</w:t>
      </w:r>
    </w:p>
    <w:p w14:paraId="42165682">
      <w:pPr>
        <w:spacing w:line="360" w:lineRule="auto"/>
      </w:pPr>
      <w:r>
        <w:rPr>
          <w:rFonts w:hint="eastAsia"/>
        </w:rPr>
        <w:t>2.1.1、用能单位能源品种和流向：</w:t>
      </w:r>
    </w:p>
    <w:p w14:paraId="6E018859">
      <w:pPr>
        <w:spacing w:line="360" w:lineRule="auto"/>
      </w:pPr>
      <w:r>
        <w:rPr>
          <w:rFonts w:hint="eastAsia"/>
        </w:rPr>
        <w:t>洛阳万基宏远电力有限公司的能源消耗品种主要由煤、柴油。供给厂区的两台双抽凝汽式汽轮发电机组来发电。</w:t>
      </w:r>
    </w:p>
    <w:p w14:paraId="4BD8B757">
      <w:pPr>
        <w:spacing w:line="360" w:lineRule="auto"/>
      </w:pPr>
      <w:r>
        <w:rPr>
          <w:rFonts w:hint="eastAsia"/>
        </w:rPr>
        <w:t>2.1.2、用能单位生产工序、生产工序单元、主要用能设备用能情况：</w:t>
      </w:r>
    </w:p>
    <w:p w14:paraId="53FE6BEE">
      <w:pPr>
        <w:spacing w:line="360" w:lineRule="auto"/>
      </w:pPr>
      <w:r>
        <w:rPr>
          <w:rFonts w:hint="eastAsia"/>
        </w:rPr>
        <w:t>根据《重点用能单位能耗在线监测系统技术规范》第2部分基础信息与格式规范、第10部分电力行业数据采集指南编写，企业生产工序及主要用能情况如下：1#发电机组（煤、柴油）；2#发电机组（煤、柴油）。</w:t>
      </w:r>
    </w:p>
    <w:p w14:paraId="627F75CE">
      <w:pPr>
        <w:spacing w:line="360" w:lineRule="auto"/>
      </w:pPr>
      <w:r>
        <w:rPr>
          <w:rFonts w:hint="eastAsia"/>
        </w:rPr>
        <w:t>1、煤：煤的一级计量为汽车衡，汽车衡有一套独立的系统。煤的二级计量为皮带秤，厂区共两条皮带秤，为两台个发电机组供煤，皮带秤中的数据已传输至企业的现有的DCS系统，并集成至企业的MIS系统。</w:t>
      </w:r>
    </w:p>
    <w:p w14:paraId="4ED752B3">
      <w:pPr>
        <w:spacing w:line="360" w:lineRule="auto"/>
      </w:pPr>
      <w:r>
        <w:rPr>
          <w:rFonts w:hint="eastAsia"/>
        </w:rPr>
        <w:t>2、柴油：柴油的和煤的进厂一级计量为同一汽车衡。二级计量为流量计，柴油流量计的数据已进入DCS，且数据已集成至企业的MIS系统。</w:t>
      </w:r>
    </w:p>
    <w:bookmarkEnd w:id="5"/>
    <w:p w14:paraId="358C8853">
      <w:pPr>
        <w:pStyle w:val="48"/>
      </w:pPr>
      <w:bookmarkStart w:id="6" w:name="_Toc22888156"/>
      <w:bookmarkStart w:id="7" w:name="_Toc22664829"/>
    </w:p>
    <w:bookmarkEnd w:id="6"/>
    <w:bookmarkEnd w:id="7"/>
    <w:p w14:paraId="6B56B62F">
      <w:pPr>
        <w:pStyle w:val="48"/>
        <w:ind w:left="0" w:leftChars="0" w:firstLine="0" w:firstLineChars="0"/>
      </w:pPr>
      <w:r>
        <w:rPr>
          <w:rFonts w:hint="eastAsia"/>
          <w:b/>
          <w:bCs/>
          <w:szCs w:val="21"/>
        </w:rPr>
        <w:t>三、乙方负责的具体工作内容及工程量：</w:t>
      </w:r>
    </w:p>
    <w:p w14:paraId="789827B3">
      <w:pPr>
        <w:spacing w:line="360" w:lineRule="auto"/>
      </w:pPr>
      <w:bookmarkStart w:id="8" w:name="_Toc12165"/>
      <w:r>
        <w:rPr>
          <w:rFonts w:hint="eastAsia"/>
        </w:rPr>
        <w:t>3.1采集上报数据</w:t>
      </w:r>
      <w:bookmarkEnd w:id="8"/>
    </w:p>
    <w:p w14:paraId="0037FD56">
      <w:pPr>
        <w:spacing w:line="360" w:lineRule="auto"/>
      </w:pPr>
      <w:r>
        <w:rPr>
          <w:rFonts w:hint="eastAsia"/>
        </w:rPr>
        <w:t xml:space="preserve">3.1.1、企业能源总量指标 </w:t>
      </w:r>
    </w:p>
    <w:p w14:paraId="7EFE70BB">
      <w:pPr>
        <w:spacing w:line="360" w:lineRule="auto"/>
      </w:pPr>
      <w:r>
        <w:rPr>
          <w:rFonts w:hint="eastAsia"/>
        </w:rPr>
        <w:t>3.1.2企业每日、每月采集上传指标</w:t>
      </w:r>
    </w:p>
    <w:tbl>
      <w:tblPr>
        <w:tblStyle w:val="49"/>
        <w:tblW w:w="8790" w:type="dxa"/>
        <w:tblInd w:w="95" w:type="dxa"/>
        <w:tblLayout w:type="fixed"/>
        <w:tblCellMar>
          <w:top w:w="0" w:type="dxa"/>
          <w:left w:w="108" w:type="dxa"/>
          <w:bottom w:w="0" w:type="dxa"/>
          <w:right w:w="108" w:type="dxa"/>
        </w:tblCellMar>
      </w:tblPr>
      <w:tblGrid>
        <w:gridCol w:w="1580"/>
        <w:gridCol w:w="1660"/>
        <w:gridCol w:w="2000"/>
        <w:gridCol w:w="1610"/>
        <w:gridCol w:w="1940"/>
      </w:tblGrid>
      <w:tr w14:paraId="2B370099">
        <w:tblPrEx>
          <w:tblCellMar>
            <w:top w:w="0" w:type="dxa"/>
            <w:left w:w="108" w:type="dxa"/>
            <w:bottom w:w="0" w:type="dxa"/>
            <w:right w:w="108" w:type="dxa"/>
          </w:tblCellMar>
        </w:tblPrEx>
        <w:trPr>
          <w:trHeight w:val="256" w:hRule="atLeast"/>
        </w:trPr>
        <w:tc>
          <w:tcPr>
            <w:tcW w:w="8790" w:type="dxa"/>
            <w:gridSpan w:val="5"/>
            <w:tcBorders>
              <w:top w:val="single" w:color="auto" w:sz="8" w:space="0"/>
              <w:left w:val="single" w:color="auto" w:sz="8" w:space="0"/>
              <w:bottom w:val="single" w:color="auto" w:sz="4" w:space="0"/>
              <w:right w:val="single" w:color="000000" w:sz="8" w:space="0"/>
            </w:tcBorders>
            <w:vAlign w:val="center"/>
          </w:tcPr>
          <w:p w14:paraId="0237A16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1、 电力生产/热力生产和供应企业每日、每月采集上传的能源总量指标</w:t>
            </w:r>
          </w:p>
        </w:tc>
      </w:tr>
      <w:tr w14:paraId="774BD3EB">
        <w:tblPrEx>
          <w:tblCellMar>
            <w:top w:w="0" w:type="dxa"/>
            <w:left w:w="108" w:type="dxa"/>
            <w:bottom w:w="0" w:type="dxa"/>
            <w:right w:w="108" w:type="dxa"/>
          </w:tblCellMar>
        </w:tblPrEx>
        <w:trPr>
          <w:trHeight w:val="256" w:hRule="atLeast"/>
        </w:trPr>
        <w:tc>
          <w:tcPr>
            <w:tcW w:w="1580" w:type="dxa"/>
            <w:tcBorders>
              <w:top w:val="single" w:color="auto" w:sz="4" w:space="0"/>
              <w:left w:val="single" w:color="auto" w:sz="8" w:space="0"/>
              <w:bottom w:val="single" w:color="auto" w:sz="4" w:space="0"/>
              <w:right w:val="single" w:color="auto" w:sz="4" w:space="0"/>
            </w:tcBorders>
            <w:vAlign w:val="center"/>
          </w:tcPr>
          <w:p w14:paraId="781EB8C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指标分类</w:t>
            </w:r>
          </w:p>
        </w:tc>
        <w:tc>
          <w:tcPr>
            <w:tcW w:w="1660" w:type="dxa"/>
            <w:tcBorders>
              <w:top w:val="nil"/>
              <w:left w:val="nil"/>
              <w:bottom w:val="single" w:color="auto" w:sz="4" w:space="0"/>
              <w:right w:val="single" w:color="auto" w:sz="4" w:space="0"/>
            </w:tcBorders>
            <w:vAlign w:val="center"/>
          </w:tcPr>
          <w:p w14:paraId="4DA4DC2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序号</w:t>
            </w:r>
          </w:p>
        </w:tc>
        <w:tc>
          <w:tcPr>
            <w:tcW w:w="2000" w:type="dxa"/>
            <w:tcBorders>
              <w:top w:val="nil"/>
              <w:left w:val="nil"/>
              <w:bottom w:val="single" w:color="auto" w:sz="4" w:space="0"/>
              <w:right w:val="single" w:color="auto" w:sz="4" w:space="0"/>
            </w:tcBorders>
            <w:vAlign w:val="center"/>
          </w:tcPr>
          <w:p w14:paraId="489DAC7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能源品种/数据指标</w:t>
            </w:r>
          </w:p>
        </w:tc>
        <w:tc>
          <w:tcPr>
            <w:tcW w:w="1610" w:type="dxa"/>
            <w:tcBorders>
              <w:top w:val="nil"/>
              <w:left w:val="nil"/>
              <w:bottom w:val="single" w:color="auto" w:sz="4" w:space="0"/>
              <w:right w:val="single" w:color="auto" w:sz="4" w:space="0"/>
            </w:tcBorders>
            <w:vAlign w:val="center"/>
          </w:tcPr>
          <w:p w14:paraId="63ED255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上传单位</w:t>
            </w:r>
          </w:p>
        </w:tc>
        <w:tc>
          <w:tcPr>
            <w:tcW w:w="1940" w:type="dxa"/>
            <w:tcBorders>
              <w:top w:val="nil"/>
              <w:left w:val="nil"/>
              <w:bottom w:val="single" w:color="auto" w:sz="4" w:space="0"/>
              <w:right w:val="single" w:color="auto" w:sz="8" w:space="0"/>
            </w:tcBorders>
            <w:vAlign w:val="center"/>
          </w:tcPr>
          <w:p w14:paraId="1BBE86F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备注</w:t>
            </w:r>
          </w:p>
        </w:tc>
      </w:tr>
      <w:tr w14:paraId="7D82664B">
        <w:tblPrEx>
          <w:tblCellMar>
            <w:top w:w="0" w:type="dxa"/>
            <w:left w:w="108" w:type="dxa"/>
            <w:bottom w:w="0" w:type="dxa"/>
            <w:right w:w="108" w:type="dxa"/>
          </w:tblCellMar>
        </w:tblPrEx>
        <w:trPr>
          <w:trHeight w:val="256" w:hRule="atLeast"/>
        </w:trPr>
        <w:tc>
          <w:tcPr>
            <w:tcW w:w="1580" w:type="dxa"/>
            <w:vMerge w:val="restart"/>
            <w:tcBorders>
              <w:top w:val="single" w:color="auto" w:sz="4" w:space="0"/>
              <w:left w:val="single" w:color="auto" w:sz="8" w:space="0"/>
              <w:bottom w:val="single" w:color="auto" w:sz="4" w:space="0"/>
              <w:right w:val="single" w:color="auto" w:sz="4" w:space="0"/>
            </w:tcBorders>
            <w:vAlign w:val="center"/>
          </w:tcPr>
          <w:p w14:paraId="330DCEB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外购能源消费量</w:t>
            </w:r>
          </w:p>
        </w:tc>
        <w:tc>
          <w:tcPr>
            <w:tcW w:w="1660" w:type="dxa"/>
            <w:tcBorders>
              <w:top w:val="nil"/>
              <w:left w:val="nil"/>
              <w:bottom w:val="single" w:color="auto" w:sz="4" w:space="0"/>
              <w:right w:val="single" w:color="auto" w:sz="4" w:space="0"/>
            </w:tcBorders>
            <w:vAlign w:val="center"/>
          </w:tcPr>
          <w:p w14:paraId="33BF1A9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2000" w:type="dxa"/>
            <w:tcBorders>
              <w:top w:val="nil"/>
              <w:left w:val="nil"/>
              <w:bottom w:val="single" w:color="auto" w:sz="4" w:space="0"/>
              <w:right w:val="single" w:color="auto" w:sz="4" w:space="0"/>
            </w:tcBorders>
            <w:vAlign w:val="center"/>
          </w:tcPr>
          <w:p w14:paraId="456B045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一般烟煤</w:t>
            </w:r>
          </w:p>
        </w:tc>
        <w:tc>
          <w:tcPr>
            <w:tcW w:w="1610" w:type="dxa"/>
            <w:tcBorders>
              <w:top w:val="nil"/>
              <w:left w:val="nil"/>
              <w:bottom w:val="single" w:color="auto" w:sz="4" w:space="0"/>
              <w:right w:val="single" w:color="auto" w:sz="4" w:space="0"/>
            </w:tcBorders>
            <w:vAlign w:val="center"/>
          </w:tcPr>
          <w:p w14:paraId="35926B6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吨</w:t>
            </w:r>
          </w:p>
        </w:tc>
        <w:tc>
          <w:tcPr>
            <w:tcW w:w="1940" w:type="dxa"/>
            <w:tcBorders>
              <w:top w:val="nil"/>
              <w:left w:val="nil"/>
              <w:bottom w:val="single" w:color="auto" w:sz="4" w:space="0"/>
              <w:right w:val="single" w:color="auto" w:sz="8" w:space="0"/>
            </w:tcBorders>
            <w:vAlign w:val="center"/>
          </w:tcPr>
          <w:p w14:paraId="4D2E1FA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全厂入炉煤量</w:t>
            </w:r>
          </w:p>
        </w:tc>
      </w:tr>
      <w:tr w14:paraId="07D33BDD">
        <w:tblPrEx>
          <w:tblCellMar>
            <w:top w:w="0" w:type="dxa"/>
            <w:left w:w="108" w:type="dxa"/>
            <w:bottom w:w="0" w:type="dxa"/>
            <w:right w:w="108" w:type="dxa"/>
          </w:tblCellMar>
        </w:tblPrEx>
        <w:trPr>
          <w:trHeight w:val="256" w:hRule="atLeast"/>
        </w:trPr>
        <w:tc>
          <w:tcPr>
            <w:tcW w:w="1580" w:type="dxa"/>
            <w:vMerge w:val="continue"/>
            <w:tcBorders>
              <w:top w:val="single" w:color="auto" w:sz="4" w:space="0"/>
              <w:left w:val="single" w:color="auto" w:sz="8" w:space="0"/>
              <w:bottom w:val="single" w:color="auto" w:sz="4" w:space="0"/>
              <w:right w:val="single" w:color="auto" w:sz="4" w:space="0"/>
            </w:tcBorders>
            <w:vAlign w:val="center"/>
          </w:tcPr>
          <w:p w14:paraId="0E9B56C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s="宋体" w:asciiTheme="minorEastAsia" w:hAnsiTheme="minorEastAsia" w:eastAsiaTheme="minorEastAsia"/>
                <w:color w:val="000000"/>
                <w:kern w:val="0"/>
                <w:sz w:val="18"/>
                <w:szCs w:val="18"/>
              </w:rPr>
            </w:pPr>
          </w:p>
        </w:tc>
        <w:tc>
          <w:tcPr>
            <w:tcW w:w="1660" w:type="dxa"/>
            <w:tcBorders>
              <w:top w:val="nil"/>
              <w:left w:val="nil"/>
              <w:bottom w:val="single" w:color="auto" w:sz="4" w:space="0"/>
              <w:right w:val="single" w:color="auto" w:sz="4" w:space="0"/>
            </w:tcBorders>
            <w:vAlign w:val="center"/>
          </w:tcPr>
          <w:p w14:paraId="785C591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w:t>
            </w:r>
          </w:p>
        </w:tc>
        <w:tc>
          <w:tcPr>
            <w:tcW w:w="2000" w:type="dxa"/>
            <w:tcBorders>
              <w:top w:val="nil"/>
              <w:left w:val="nil"/>
              <w:bottom w:val="single" w:color="auto" w:sz="4" w:space="0"/>
              <w:right w:val="single" w:color="auto" w:sz="4" w:space="0"/>
            </w:tcBorders>
            <w:vAlign w:val="center"/>
          </w:tcPr>
          <w:p w14:paraId="09D1E66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燃料油</w:t>
            </w:r>
          </w:p>
        </w:tc>
        <w:tc>
          <w:tcPr>
            <w:tcW w:w="1610" w:type="dxa"/>
            <w:tcBorders>
              <w:top w:val="nil"/>
              <w:left w:val="nil"/>
              <w:bottom w:val="single" w:color="auto" w:sz="4" w:space="0"/>
              <w:right w:val="single" w:color="auto" w:sz="4" w:space="0"/>
            </w:tcBorders>
            <w:vAlign w:val="center"/>
          </w:tcPr>
          <w:p w14:paraId="5480AF6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吨</w:t>
            </w:r>
          </w:p>
        </w:tc>
        <w:tc>
          <w:tcPr>
            <w:tcW w:w="1940" w:type="dxa"/>
            <w:tcBorders>
              <w:top w:val="nil"/>
              <w:left w:val="nil"/>
              <w:bottom w:val="single" w:color="auto" w:sz="4" w:space="0"/>
              <w:right w:val="single" w:color="auto" w:sz="8" w:space="0"/>
            </w:tcBorders>
            <w:vAlign w:val="center"/>
          </w:tcPr>
          <w:p w14:paraId="67D5957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全厂锅炉用燃油量</w:t>
            </w:r>
          </w:p>
        </w:tc>
      </w:tr>
      <w:tr w14:paraId="7B96487C">
        <w:tblPrEx>
          <w:tblCellMar>
            <w:top w:w="0" w:type="dxa"/>
            <w:left w:w="108" w:type="dxa"/>
            <w:bottom w:w="0" w:type="dxa"/>
            <w:right w:w="108" w:type="dxa"/>
          </w:tblCellMar>
        </w:tblPrEx>
        <w:trPr>
          <w:trHeight w:val="256" w:hRule="atLeast"/>
        </w:trPr>
        <w:tc>
          <w:tcPr>
            <w:tcW w:w="1580" w:type="dxa"/>
            <w:vMerge w:val="continue"/>
            <w:tcBorders>
              <w:top w:val="single" w:color="auto" w:sz="4" w:space="0"/>
              <w:left w:val="single" w:color="auto" w:sz="8" w:space="0"/>
              <w:bottom w:val="single" w:color="auto" w:sz="4" w:space="0"/>
              <w:right w:val="single" w:color="auto" w:sz="4" w:space="0"/>
            </w:tcBorders>
            <w:vAlign w:val="center"/>
          </w:tcPr>
          <w:p w14:paraId="4DAC540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s="宋体" w:asciiTheme="minorEastAsia" w:hAnsiTheme="minorEastAsia" w:eastAsiaTheme="minorEastAsia"/>
                <w:color w:val="000000"/>
                <w:kern w:val="0"/>
                <w:sz w:val="18"/>
                <w:szCs w:val="18"/>
              </w:rPr>
            </w:pPr>
          </w:p>
        </w:tc>
        <w:tc>
          <w:tcPr>
            <w:tcW w:w="1660" w:type="dxa"/>
            <w:tcBorders>
              <w:top w:val="nil"/>
              <w:left w:val="nil"/>
              <w:bottom w:val="single" w:color="auto" w:sz="4" w:space="0"/>
              <w:right w:val="single" w:color="auto" w:sz="4" w:space="0"/>
            </w:tcBorders>
            <w:vAlign w:val="center"/>
          </w:tcPr>
          <w:p w14:paraId="6720094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w:t>
            </w:r>
          </w:p>
        </w:tc>
        <w:tc>
          <w:tcPr>
            <w:tcW w:w="2000" w:type="dxa"/>
            <w:tcBorders>
              <w:top w:val="nil"/>
              <w:left w:val="nil"/>
              <w:bottom w:val="single" w:color="auto" w:sz="4" w:space="0"/>
              <w:right w:val="single" w:color="auto" w:sz="4" w:space="0"/>
            </w:tcBorders>
            <w:vAlign w:val="center"/>
          </w:tcPr>
          <w:p w14:paraId="5310AAE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电力</w:t>
            </w:r>
          </w:p>
        </w:tc>
        <w:tc>
          <w:tcPr>
            <w:tcW w:w="1610" w:type="dxa"/>
            <w:tcBorders>
              <w:top w:val="nil"/>
              <w:left w:val="nil"/>
              <w:bottom w:val="single" w:color="auto" w:sz="4" w:space="0"/>
              <w:right w:val="single" w:color="auto" w:sz="4" w:space="0"/>
            </w:tcBorders>
            <w:vAlign w:val="center"/>
          </w:tcPr>
          <w:p w14:paraId="41785B8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千瓦时</w:t>
            </w:r>
          </w:p>
        </w:tc>
        <w:tc>
          <w:tcPr>
            <w:tcW w:w="1940" w:type="dxa"/>
            <w:tcBorders>
              <w:top w:val="nil"/>
              <w:left w:val="nil"/>
              <w:bottom w:val="single" w:color="auto" w:sz="4" w:space="0"/>
              <w:right w:val="single" w:color="auto" w:sz="8" w:space="0"/>
            </w:tcBorders>
            <w:vAlign w:val="center"/>
          </w:tcPr>
          <w:p w14:paraId="415BD8B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全厂外购</w:t>
            </w:r>
          </w:p>
        </w:tc>
      </w:tr>
      <w:tr w14:paraId="3F6909D0">
        <w:tblPrEx>
          <w:tblCellMar>
            <w:top w:w="0" w:type="dxa"/>
            <w:left w:w="108" w:type="dxa"/>
            <w:bottom w:w="0" w:type="dxa"/>
            <w:right w:w="108" w:type="dxa"/>
          </w:tblCellMar>
        </w:tblPrEx>
        <w:trPr>
          <w:trHeight w:val="256" w:hRule="atLeast"/>
        </w:trPr>
        <w:tc>
          <w:tcPr>
            <w:tcW w:w="1580" w:type="dxa"/>
            <w:tcBorders>
              <w:top w:val="single" w:color="auto" w:sz="4" w:space="0"/>
              <w:left w:val="single" w:color="auto" w:sz="8" w:space="0"/>
              <w:bottom w:val="single" w:color="auto" w:sz="4" w:space="0"/>
              <w:right w:val="single" w:color="auto" w:sz="4" w:space="0"/>
            </w:tcBorders>
            <w:vAlign w:val="center"/>
          </w:tcPr>
          <w:p w14:paraId="4F67B2F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外供量</w:t>
            </w:r>
          </w:p>
        </w:tc>
        <w:tc>
          <w:tcPr>
            <w:tcW w:w="1660" w:type="dxa"/>
            <w:tcBorders>
              <w:top w:val="nil"/>
              <w:left w:val="nil"/>
              <w:bottom w:val="single" w:color="auto" w:sz="4" w:space="0"/>
              <w:right w:val="single" w:color="auto" w:sz="4" w:space="0"/>
            </w:tcBorders>
            <w:vAlign w:val="center"/>
          </w:tcPr>
          <w:p w14:paraId="584A43C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2000" w:type="dxa"/>
            <w:tcBorders>
              <w:top w:val="nil"/>
              <w:left w:val="nil"/>
              <w:bottom w:val="single" w:color="auto" w:sz="4" w:space="0"/>
              <w:right w:val="single" w:color="auto" w:sz="4" w:space="0"/>
            </w:tcBorders>
            <w:vAlign w:val="center"/>
          </w:tcPr>
          <w:p w14:paraId="341778D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电力</w:t>
            </w:r>
          </w:p>
        </w:tc>
        <w:tc>
          <w:tcPr>
            <w:tcW w:w="1610" w:type="dxa"/>
            <w:tcBorders>
              <w:top w:val="nil"/>
              <w:left w:val="nil"/>
              <w:bottom w:val="single" w:color="auto" w:sz="4" w:space="0"/>
              <w:right w:val="single" w:color="auto" w:sz="4" w:space="0"/>
            </w:tcBorders>
            <w:vAlign w:val="center"/>
          </w:tcPr>
          <w:p w14:paraId="0383D5D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千瓦时</w:t>
            </w:r>
          </w:p>
        </w:tc>
        <w:tc>
          <w:tcPr>
            <w:tcW w:w="1940" w:type="dxa"/>
            <w:tcBorders>
              <w:top w:val="nil"/>
              <w:left w:val="nil"/>
              <w:bottom w:val="single" w:color="auto" w:sz="4" w:space="0"/>
              <w:right w:val="single" w:color="auto" w:sz="8" w:space="0"/>
            </w:tcBorders>
            <w:vAlign w:val="center"/>
          </w:tcPr>
          <w:p w14:paraId="73AFEEC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上网电量</w:t>
            </w:r>
          </w:p>
        </w:tc>
      </w:tr>
      <w:tr w14:paraId="0BA24960">
        <w:tblPrEx>
          <w:tblCellMar>
            <w:top w:w="0" w:type="dxa"/>
            <w:left w:w="108" w:type="dxa"/>
            <w:bottom w:w="0" w:type="dxa"/>
            <w:right w:w="108" w:type="dxa"/>
          </w:tblCellMar>
        </w:tblPrEx>
        <w:trPr>
          <w:trHeight w:val="303" w:hRule="atLeast"/>
        </w:trPr>
        <w:tc>
          <w:tcPr>
            <w:tcW w:w="8790" w:type="dxa"/>
            <w:gridSpan w:val="5"/>
            <w:tcBorders>
              <w:top w:val="single" w:color="auto" w:sz="4" w:space="0"/>
              <w:left w:val="single" w:color="auto" w:sz="8" w:space="0"/>
              <w:bottom w:val="single" w:color="auto" w:sz="4" w:space="0"/>
              <w:right w:val="single" w:color="000000" w:sz="8" w:space="0"/>
            </w:tcBorders>
            <w:vAlign w:val="center"/>
          </w:tcPr>
          <w:p w14:paraId="3BAA343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2、电力生产/热力生产和供应企业每日、每月采集上传的机组能源消费量指标</w:t>
            </w:r>
          </w:p>
        </w:tc>
      </w:tr>
      <w:tr w14:paraId="343E1F9E">
        <w:tblPrEx>
          <w:tblCellMar>
            <w:top w:w="0" w:type="dxa"/>
            <w:left w:w="108" w:type="dxa"/>
            <w:bottom w:w="0" w:type="dxa"/>
            <w:right w:w="108" w:type="dxa"/>
          </w:tblCellMar>
        </w:tblPrEx>
        <w:trPr>
          <w:trHeight w:val="303" w:hRule="atLeast"/>
        </w:trPr>
        <w:tc>
          <w:tcPr>
            <w:tcW w:w="1580" w:type="dxa"/>
            <w:tcBorders>
              <w:top w:val="single" w:color="auto" w:sz="4" w:space="0"/>
              <w:left w:val="single" w:color="auto" w:sz="8" w:space="0"/>
              <w:bottom w:val="single" w:color="auto" w:sz="4" w:space="0"/>
              <w:right w:val="single" w:color="auto" w:sz="4" w:space="0"/>
            </w:tcBorders>
            <w:vAlign w:val="center"/>
          </w:tcPr>
          <w:p w14:paraId="6BE5931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指标分类</w:t>
            </w:r>
          </w:p>
        </w:tc>
        <w:tc>
          <w:tcPr>
            <w:tcW w:w="1660" w:type="dxa"/>
            <w:tcBorders>
              <w:top w:val="nil"/>
              <w:left w:val="nil"/>
              <w:bottom w:val="single" w:color="auto" w:sz="4" w:space="0"/>
              <w:right w:val="single" w:color="auto" w:sz="4" w:space="0"/>
            </w:tcBorders>
            <w:vAlign w:val="center"/>
          </w:tcPr>
          <w:p w14:paraId="61496B9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序号</w:t>
            </w:r>
          </w:p>
        </w:tc>
        <w:tc>
          <w:tcPr>
            <w:tcW w:w="2000" w:type="dxa"/>
            <w:tcBorders>
              <w:top w:val="nil"/>
              <w:left w:val="nil"/>
              <w:bottom w:val="single" w:color="auto" w:sz="4" w:space="0"/>
              <w:right w:val="single" w:color="auto" w:sz="4" w:space="0"/>
            </w:tcBorders>
            <w:vAlign w:val="center"/>
          </w:tcPr>
          <w:p w14:paraId="58B1789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数据指标</w:t>
            </w:r>
          </w:p>
        </w:tc>
        <w:tc>
          <w:tcPr>
            <w:tcW w:w="1610" w:type="dxa"/>
            <w:tcBorders>
              <w:top w:val="nil"/>
              <w:left w:val="nil"/>
              <w:bottom w:val="single" w:color="auto" w:sz="4" w:space="0"/>
              <w:right w:val="single" w:color="auto" w:sz="4" w:space="0"/>
            </w:tcBorders>
            <w:vAlign w:val="center"/>
          </w:tcPr>
          <w:p w14:paraId="2B6B1E0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单位</w:t>
            </w:r>
          </w:p>
        </w:tc>
        <w:tc>
          <w:tcPr>
            <w:tcW w:w="1940" w:type="dxa"/>
            <w:tcBorders>
              <w:top w:val="nil"/>
              <w:left w:val="nil"/>
              <w:bottom w:val="single" w:color="auto" w:sz="4" w:space="0"/>
              <w:right w:val="single" w:color="auto" w:sz="8" w:space="0"/>
            </w:tcBorders>
            <w:vAlign w:val="center"/>
          </w:tcPr>
          <w:p w14:paraId="476CCE9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备注</w:t>
            </w:r>
          </w:p>
        </w:tc>
      </w:tr>
      <w:tr w14:paraId="41DBE476">
        <w:tblPrEx>
          <w:tblCellMar>
            <w:top w:w="0" w:type="dxa"/>
            <w:left w:w="108" w:type="dxa"/>
            <w:bottom w:w="0" w:type="dxa"/>
            <w:right w:w="108" w:type="dxa"/>
          </w:tblCellMar>
        </w:tblPrEx>
        <w:trPr>
          <w:trHeight w:val="303" w:hRule="atLeast"/>
        </w:trPr>
        <w:tc>
          <w:tcPr>
            <w:tcW w:w="1580" w:type="dxa"/>
            <w:vMerge w:val="restart"/>
            <w:tcBorders>
              <w:top w:val="single" w:color="auto" w:sz="4" w:space="0"/>
              <w:left w:val="single" w:color="auto" w:sz="8" w:space="0"/>
              <w:bottom w:val="single" w:color="auto" w:sz="4" w:space="0"/>
              <w:right w:val="single" w:color="auto" w:sz="4" w:space="0"/>
            </w:tcBorders>
            <w:vAlign w:val="center"/>
          </w:tcPr>
          <w:p w14:paraId="4E4FC30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企业能效</w:t>
            </w:r>
          </w:p>
        </w:tc>
        <w:tc>
          <w:tcPr>
            <w:tcW w:w="1660" w:type="dxa"/>
            <w:tcBorders>
              <w:top w:val="nil"/>
              <w:left w:val="nil"/>
              <w:bottom w:val="single" w:color="auto" w:sz="4" w:space="0"/>
              <w:right w:val="single" w:color="auto" w:sz="4" w:space="0"/>
            </w:tcBorders>
            <w:vAlign w:val="center"/>
          </w:tcPr>
          <w:p w14:paraId="64FA643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2000" w:type="dxa"/>
            <w:tcBorders>
              <w:top w:val="nil"/>
              <w:left w:val="nil"/>
              <w:bottom w:val="single" w:color="auto" w:sz="4" w:space="0"/>
              <w:right w:val="single" w:color="auto" w:sz="4" w:space="0"/>
            </w:tcBorders>
            <w:vAlign w:val="center"/>
          </w:tcPr>
          <w:p w14:paraId="74E4AA4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厂用电率</w:t>
            </w:r>
          </w:p>
        </w:tc>
        <w:tc>
          <w:tcPr>
            <w:tcW w:w="1610" w:type="dxa"/>
            <w:tcBorders>
              <w:top w:val="nil"/>
              <w:left w:val="nil"/>
              <w:bottom w:val="single" w:color="auto" w:sz="4" w:space="0"/>
              <w:right w:val="single" w:color="auto" w:sz="4" w:space="0"/>
            </w:tcBorders>
            <w:vAlign w:val="center"/>
          </w:tcPr>
          <w:p w14:paraId="0364C35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百分比</w:t>
            </w:r>
          </w:p>
        </w:tc>
        <w:tc>
          <w:tcPr>
            <w:tcW w:w="1940" w:type="dxa"/>
            <w:tcBorders>
              <w:top w:val="nil"/>
              <w:left w:val="nil"/>
              <w:bottom w:val="single" w:color="auto" w:sz="4" w:space="0"/>
              <w:right w:val="single" w:color="auto" w:sz="8" w:space="0"/>
            </w:tcBorders>
            <w:vAlign w:val="center"/>
          </w:tcPr>
          <w:p w14:paraId="4BA6321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全厂</w:t>
            </w:r>
          </w:p>
        </w:tc>
      </w:tr>
      <w:tr w14:paraId="59B546B5">
        <w:tblPrEx>
          <w:tblCellMar>
            <w:top w:w="0" w:type="dxa"/>
            <w:left w:w="108" w:type="dxa"/>
            <w:bottom w:w="0" w:type="dxa"/>
            <w:right w:w="108" w:type="dxa"/>
          </w:tblCellMar>
        </w:tblPrEx>
        <w:trPr>
          <w:trHeight w:val="303" w:hRule="atLeast"/>
        </w:trPr>
        <w:tc>
          <w:tcPr>
            <w:tcW w:w="1580" w:type="dxa"/>
            <w:vMerge w:val="continue"/>
            <w:tcBorders>
              <w:top w:val="single" w:color="auto" w:sz="4" w:space="0"/>
              <w:left w:val="single" w:color="auto" w:sz="8" w:space="0"/>
              <w:bottom w:val="single" w:color="auto" w:sz="4" w:space="0"/>
              <w:right w:val="single" w:color="auto" w:sz="4" w:space="0"/>
            </w:tcBorders>
            <w:vAlign w:val="center"/>
          </w:tcPr>
          <w:p w14:paraId="2BD8496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s="宋体" w:asciiTheme="minorEastAsia" w:hAnsiTheme="minorEastAsia" w:eastAsiaTheme="minorEastAsia"/>
                <w:color w:val="000000"/>
                <w:kern w:val="0"/>
                <w:sz w:val="18"/>
                <w:szCs w:val="18"/>
              </w:rPr>
            </w:pPr>
          </w:p>
        </w:tc>
        <w:tc>
          <w:tcPr>
            <w:tcW w:w="1660" w:type="dxa"/>
            <w:tcBorders>
              <w:top w:val="nil"/>
              <w:left w:val="nil"/>
              <w:bottom w:val="single" w:color="auto" w:sz="4" w:space="0"/>
              <w:right w:val="single" w:color="auto" w:sz="4" w:space="0"/>
            </w:tcBorders>
            <w:vAlign w:val="center"/>
          </w:tcPr>
          <w:p w14:paraId="2383BEC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w:t>
            </w:r>
          </w:p>
        </w:tc>
        <w:tc>
          <w:tcPr>
            <w:tcW w:w="2000" w:type="dxa"/>
            <w:tcBorders>
              <w:top w:val="nil"/>
              <w:left w:val="nil"/>
              <w:bottom w:val="single" w:color="auto" w:sz="4" w:space="0"/>
              <w:right w:val="single" w:color="auto" w:sz="4" w:space="0"/>
            </w:tcBorders>
            <w:vAlign w:val="center"/>
          </w:tcPr>
          <w:p w14:paraId="103B403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供电标准煤耗率</w:t>
            </w:r>
          </w:p>
        </w:tc>
        <w:tc>
          <w:tcPr>
            <w:tcW w:w="1610" w:type="dxa"/>
            <w:tcBorders>
              <w:top w:val="nil"/>
              <w:left w:val="nil"/>
              <w:bottom w:val="single" w:color="auto" w:sz="4" w:space="0"/>
              <w:right w:val="single" w:color="auto" w:sz="4" w:space="0"/>
            </w:tcBorders>
            <w:vAlign w:val="center"/>
          </w:tcPr>
          <w:p w14:paraId="4C1A9ED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克标准煤/千瓦时</w:t>
            </w:r>
          </w:p>
        </w:tc>
        <w:tc>
          <w:tcPr>
            <w:tcW w:w="1940" w:type="dxa"/>
            <w:tcBorders>
              <w:top w:val="nil"/>
              <w:left w:val="nil"/>
              <w:bottom w:val="single" w:color="auto" w:sz="4" w:space="0"/>
              <w:right w:val="single" w:color="auto" w:sz="8" w:space="0"/>
            </w:tcBorders>
            <w:vAlign w:val="center"/>
          </w:tcPr>
          <w:p w14:paraId="344BC44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全厂</w:t>
            </w:r>
          </w:p>
        </w:tc>
      </w:tr>
      <w:tr w14:paraId="5B63E4A7">
        <w:tblPrEx>
          <w:tblCellMar>
            <w:top w:w="0" w:type="dxa"/>
            <w:left w:w="108" w:type="dxa"/>
            <w:bottom w:w="0" w:type="dxa"/>
            <w:right w:w="108" w:type="dxa"/>
          </w:tblCellMar>
        </w:tblPrEx>
        <w:trPr>
          <w:trHeight w:val="303" w:hRule="atLeast"/>
        </w:trPr>
        <w:tc>
          <w:tcPr>
            <w:tcW w:w="1580" w:type="dxa"/>
            <w:vMerge w:val="continue"/>
            <w:tcBorders>
              <w:top w:val="single" w:color="auto" w:sz="4" w:space="0"/>
              <w:left w:val="single" w:color="auto" w:sz="8" w:space="0"/>
              <w:bottom w:val="single" w:color="auto" w:sz="4" w:space="0"/>
              <w:right w:val="single" w:color="auto" w:sz="4" w:space="0"/>
            </w:tcBorders>
            <w:vAlign w:val="center"/>
          </w:tcPr>
          <w:p w14:paraId="1A667E1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s="宋体" w:asciiTheme="minorEastAsia" w:hAnsiTheme="minorEastAsia" w:eastAsiaTheme="minorEastAsia"/>
                <w:color w:val="000000"/>
                <w:kern w:val="0"/>
                <w:sz w:val="18"/>
                <w:szCs w:val="18"/>
              </w:rPr>
            </w:pPr>
          </w:p>
        </w:tc>
        <w:tc>
          <w:tcPr>
            <w:tcW w:w="1660" w:type="dxa"/>
            <w:tcBorders>
              <w:top w:val="nil"/>
              <w:left w:val="nil"/>
              <w:bottom w:val="single" w:color="auto" w:sz="4" w:space="0"/>
              <w:right w:val="single" w:color="auto" w:sz="4" w:space="0"/>
            </w:tcBorders>
            <w:vAlign w:val="center"/>
          </w:tcPr>
          <w:p w14:paraId="68FF5D1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w:t>
            </w:r>
          </w:p>
        </w:tc>
        <w:tc>
          <w:tcPr>
            <w:tcW w:w="2000" w:type="dxa"/>
            <w:tcBorders>
              <w:top w:val="nil"/>
              <w:left w:val="nil"/>
              <w:bottom w:val="single" w:color="auto" w:sz="4" w:space="0"/>
              <w:right w:val="single" w:color="auto" w:sz="4" w:space="0"/>
            </w:tcBorders>
            <w:vAlign w:val="center"/>
          </w:tcPr>
          <w:p w14:paraId="27A3326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发电标准煤耗率</w:t>
            </w:r>
          </w:p>
        </w:tc>
        <w:tc>
          <w:tcPr>
            <w:tcW w:w="1610" w:type="dxa"/>
            <w:tcBorders>
              <w:top w:val="nil"/>
              <w:left w:val="nil"/>
              <w:bottom w:val="single" w:color="auto" w:sz="4" w:space="0"/>
              <w:right w:val="single" w:color="auto" w:sz="4" w:space="0"/>
            </w:tcBorders>
            <w:vAlign w:val="center"/>
          </w:tcPr>
          <w:p w14:paraId="3AD1FE6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克标准煤/千瓦时</w:t>
            </w:r>
          </w:p>
        </w:tc>
        <w:tc>
          <w:tcPr>
            <w:tcW w:w="1940" w:type="dxa"/>
            <w:tcBorders>
              <w:top w:val="nil"/>
              <w:left w:val="nil"/>
              <w:bottom w:val="single" w:color="auto" w:sz="4" w:space="0"/>
              <w:right w:val="single" w:color="auto" w:sz="8" w:space="0"/>
            </w:tcBorders>
            <w:vAlign w:val="center"/>
          </w:tcPr>
          <w:p w14:paraId="25196C7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全厂</w:t>
            </w:r>
          </w:p>
        </w:tc>
      </w:tr>
      <w:tr w14:paraId="688F765D">
        <w:tblPrEx>
          <w:tblCellMar>
            <w:top w:w="0" w:type="dxa"/>
            <w:left w:w="108" w:type="dxa"/>
            <w:bottom w:w="0" w:type="dxa"/>
            <w:right w:w="108" w:type="dxa"/>
          </w:tblCellMar>
        </w:tblPrEx>
        <w:trPr>
          <w:trHeight w:val="399" w:hRule="atLeast"/>
        </w:trPr>
        <w:tc>
          <w:tcPr>
            <w:tcW w:w="6850" w:type="dxa"/>
            <w:gridSpan w:val="4"/>
            <w:tcBorders>
              <w:top w:val="single" w:color="auto" w:sz="4" w:space="0"/>
              <w:left w:val="single" w:color="auto" w:sz="8" w:space="0"/>
              <w:bottom w:val="single" w:color="auto" w:sz="4" w:space="0"/>
              <w:right w:val="single" w:color="auto" w:sz="4" w:space="0"/>
            </w:tcBorders>
            <w:vAlign w:val="center"/>
          </w:tcPr>
          <w:p w14:paraId="2247D46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3、电力生产/热力生产和供应企业每日、每月采集上传的企业其他指标</w:t>
            </w:r>
          </w:p>
        </w:tc>
        <w:tc>
          <w:tcPr>
            <w:tcW w:w="1940" w:type="dxa"/>
            <w:tcBorders>
              <w:top w:val="nil"/>
              <w:left w:val="nil"/>
              <w:bottom w:val="single" w:color="auto" w:sz="4" w:space="0"/>
              <w:right w:val="single" w:color="auto" w:sz="8" w:space="0"/>
            </w:tcBorders>
            <w:vAlign w:val="center"/>
          </w:tcPr>
          <w:p w14:paraId="38AD39C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　</w:t>
            </w:r>
          </w:p>
        </w:tc>
      </w:tr>
      <w:tr w14:paraId="073C4002">
        <w:tblPrEx>
          <w:tblCellMar>
            <w:top w:w="0" w:type="dxa"/>
            <w:left w:w="108" w:type="dxa"/>
            <w:bottom w:w="0" w:type="dxa"/>
            <w:right w:w="108" w:type="dxa"/>
          </w:tblCellMar>
        </w:tblPrEx>
        <w:trPr>
          <w:trHeight w:val="315" w:hRule="atLeast"/>
        </w:trPr>
        <w:tc>
          <w:tcPr>
            <w:tcW w:w="1580" w:type="dxa"/>
            <w:tcBorders>
              <w:top w:val="single" w:color="auto" w:sz="4" w:space="0"/>
              <w:left w:val="single" w:color="auto" w:sz="8" w:space="0"/>
              <w:bottom w:val="single" w:color="auto" w:sz="4" w:space="0"/>
              <w:right w:val="single" w:color="auto" w:sz="4" w:space="0"/>
            </w:tcBorders>
            <w:vAlign w:val="center"/>
          </w:tcPr>
          <w:p w14:paraId="62BCC88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分类</w:t>
            </w:r>
          </w:p>
        </w:tc>
        <w:tc>
          <w:tcPr>
            <w:tcW w:w="1660" w:type="dxa"/>
            <w:tcBorders>
              <w:top w:val="nil"/>
              <w:left w:val="nil"/>
              <w:bottom w:val="single" w:color="auto" w:sz="4" w:space="0"/>
              <w:right w:val="single" w:color="auto" w:sz="4" w:space="0"/>
            </w:tcBorders>
            <w:vAlign w:val="center"/>
          </w:tcPr>
          <w:p w14:paraId="7F655E0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序号</w:t>
            </w:r>
          </w:p>
        </w:tc>
        <w:tc>
          <w:tcPr>
            <w:tcW w:w="2000" w:type="dxa"/>
            <w:tcBorders>
              <w:top w:val="nil"/>
              <w:left w:val="nil"/>
              <w:bottom w:val="single" w:color="auto" w:sz="4" w:space="0"/>
              <w:right w:val="single" w:color="auto" w:sz="4" w:space="0"/>
            </w:tcBorders>
            <w:vAlign w:val="center"/>
          </w:tcPr>
          <w:p w14:paraId="6ED4DF7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能源品种数据指标</w:t>
            </w:r>
          </w:p>
        </w:tc>
        <w:tc>
          <w:tcPr>
            <w:tcW w:w="1610" w:type="dxa"/>
            <w:tcBorders>
              <w:top w:val="nil"/>
              <w:left w:val="nil"/>
              <w:bottom w:val="single" w:color="auto" w:sz="4" w:space="0"/>
              <w:right w:val="single" w:color="auto" w:sz="4" w:space="0"/>
            </w:tcBorders>
            <w:vAlign w:val="center"/>
          </w:tcPr>
          <w:p w14:paraId="778F0AB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上传单位</w:t>
            </w:r>
          </w:p>
        </w:tc>
        <w:tc>
          <w:tcPr>
            <w:tcW w:w="1940" w:type="dxa"/>
            <w:tcBorders>
              <w:top w:val="nil"/>
              <w:left w:val="nil"/>
              <w:bottom w:val="single" w:color="auto" w:sz="4" w:space="0"/>
              <w:right w:val="single" w:color="auto" w:sz="8" w:space="0"/>
            </w:tcBorders>
            <w:vAlign w:val="center"/>
          </w:tcPr>
          <w:p w14:paraId="459BDB6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备注</w:t>
            </w:r>
          </w:p>
        </w:tc>
      </w:tr>
      <w:tr w14:paraId="4E0E8CD5">
        <w:tblPrEx>
          <w:tblCellMar>
            <w:top w:w="0" w:type="dxa"/>
            <w:left w:w="108" w:type="dxa"/>
            <w:bottom w:w="0" w:type="dxa"/>
            <w:right w:w="108" w:type="dxa"/>
          </w:tblCellMar>
        </w:tblPrEx>
        <w:trPr>
          <w:trHeight w:val="290" w:hRule="atLeast"/>
        </w:trPr>
        <w:tc>
          <w:tcPr>
            <w:tcW w:w="1580" w:type="dxa"/>
            <w:tcBorders>
              <w:top w:val="single" w:color="auto" w:sz="4" w:space="0"/>
              <w:left w:val="single" w:color="auto" w:sz="8" w:space="0"/>
              <w:bottom w:val="single" w:color="auto" w:sz="4" w:space="0"/>
              <w:right w:val="single" w:color="auto" w:sz="4" w:space="0"/>
            </w:tcBorders>
            <w:vAlign w:val="center"/>
          </w:tcPr>
          <w:p w14:paraId="2D70347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产品产量</w:t>
            </w:r>
          </w:p>
        </w:tc>
        <w:tc>
          <w:tcPr>
            <w:tcW w:w="1660" w:type="dxa"/>
            <w:tcBorders>
              <w:top w:val="nil"/>
              <w:left w:val="nil"/>
              <w:bottom w:val="single" w:color="auto" w:sz="4" w:space="0"/>
              <w:right w:val="single" w:color="auto" w:sz="4" w:space="0"/>
            </w:tcBorders>
            <w:vAlign w:val="center"/>
          </w:tcPr>
          <w:p w14:paraId="449890D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2000" w:type="dxa"/>
            <w:tcBorders>
              <w:top w:val="nil"/>
              <w:left w:val="nil"/>
              <w:bottom w:val="single" w:color="auto" w:sz="4" w:space="0"/>
              <w:right w:val="single" w:color="auto" w:sz="4" w:space="0"/>
            </w:tcBorders>
            <w:vAlign w:val="center"/>
          </w:tcPr>
          <w:p w14:paraId="2BFA68D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电力</w:t>
            </w:r>
          </w:p>
        </w:tc>
        <w:tc>
          <w:tcPr>
            <w:tcW w:w="1610" w:type="dxa"/>
            <w:tcBorders>
              <w:top w:val="nil"/>
              <w:left w:val="nil"/>
              <w:bottom w:val="single" w:color="auto" w:sz="4" w:space="0"/>
              <w:right w:val="single" w:color="auto" w:sz="4" w:space="0"/>
            </w:tcBorders>
            <w:vAlign w:val="center"/>
          </w:tcPr>
          <w:p w14:paraId="4095ECC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千瓦时</w:t>
            </w:r>
          </w:p>
        </w:tc>
        <w:tc>
          <w:tcPr>
            <w:tcW w:w="1940" w:type="dxa"/>
            <w:tcBorders>
              <w:top w:val="nil"/>
              <w:left w:val="nil"/>
              <w:bottom w:val="single" w:color="auto" w:sz="4" w:space="0"/>
              <w:right w:val="single" w:color="auto" w:sz="8" w:space="0"/>
            </w:tcBorders>
            <w:vAlign w:val="center"/>
          </w:tcPr>
          <w:p w14:paraId="52A9903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全厂上网电量</w:t>
            </w:r>
          </w:p>
        </w:tc>
      </w:tr>
      <w:tr w14:paraId="1D5870BF">
        <w:tblPrEx>
          <w:tblCellMar>
            <w:top w:w="0" w:type="dxa"/>
            <w:left w:w="108" w:type="dxa"/>
            <w:bottom w:w="0" w:type="dxa"/>
            <w:right w:w="108" w:type="dxa"/>
          </w:tblCellMar>
        </w:tblPrEx>
        <w:trPr>
          <w:trHeight w:val="412" w:hRule="atLeast"/>
        </w:trPr>
        <w:tc>
          <w:tcPr>
            <w:tcW w:w="8790" w:type="dxa"/>
            <w:gridSpan w:val="5"/>
            <w:tcBorders>
              <w:top w:val="single" w:color="auto" w:sz="4" w:space="0"/>
              <w:left w:val="single" w:color="auto" w:sz="8" w:space="0"/>
              <w:bottom w:val="single" w:color="auto" w:sz="4" w:space="0"/>
              <w:right w:val="single" w:color="000000" w:sz="8" w:space="0"/>
            </w:tcBorders>
            <w:vAlign w:val="center"/>
          </w:tcPr>
          <w:p w14:paraId="1F3DB51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4、电力生产/热力生产和供应企业每日、每月采集上传的机组能源消费量指标</w:t>
            </w:r>
          </w:p>
        </w:tc>
      </w:tr>
      <w:tr w14:paraId="35F8AF9F">
        <w:tblPrEx>
          <w:tblCellMar>
            <w:top w:w="0" w:type="dxa"/>
            <w:left w:w="108" w:type="dxa"/>
            <w:bottom w:w="0" w:type="dxa"/>
            <w:right w:w="108" w:type="dxa"/>
          </w:tblCellMar>
        </w:tblPrEx>
        <w:trPr>
          <w:trHeight w:val="420" w:hRule="atLeast"/>
        </w:trPr>
        <w:tc>
          <w:tcPr>
            <w:tcW w:w="1580" w:type="dxa"/>
            <w:tcBorders>
              <w:top w:val="single" w:color="auto" w:sz="4" w:space="0"/>
              <w:left w:val="single" w:color="auto" w:sz="8" w:space="0"/>
              <w:bottom w:val="single" w:color="auto" w:sz="4" w:space="0"/>
              <w:right w:val="single" w:color="auto" w:sz="4" w:space="0"/>
            </w:tcBorders>
            <w:vAlign w:val="center"/>
          </w:tcPr>
          <w:p w14:paraId="64EA16D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指标分类</w:t>
            </w:r>
          </w:p>
        </w:tc>
        <w:tc>
          <w:tcPr>
            <w:tcW w:w="1660" w:type="dxa"/>
            <w:tcBorders>
              <w:top w:val="nil"/>
              <w:left w:val="nil"/>
              <w:bottom w:val="single" w:color="auto" w:sz="4" w:space="0"/>
              <w:right w:val="single" w:color="auto" w:sz="4" w:space="0"/>
            </w:tcBorders>
            <w:vAlign w:val="center"/>
          </w:tcPr>
          <w:p w14:paraId="037C276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序号</w:t>
            </w:r>
          </w:p>
        </w:tc>
        <w:tc>
          <w:tcPr>
            <w:tcW w:w="2000" w:type="dxa"/>
            <w:tcBorders>
              <w:top w:val="nil"/>
              <w:left w:val="nil"/>
              <w:bottom w:val="single" w:color="auto" w:sz="4" w:space="0"/>
              <w:right w:val="single" w:color="auto" w:sz="4" w:space="0"/>
            </w:tcBorders>
            <w:vAlign w:val="center"/>
          </w:tcPr>
          <w:p w14:paraId="4D01663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能源品种/数据指标</w:t>
            </w:r>
          </w:p>
        </w:tc>
        <w:tc>
          <w:tcPr>
            <w:tcW w:w="1610" w:type="dxa"/>
            <w:tcBorders>
              <w:top w:val="nil"/>
              <w:left w:val="nil"/>
              <w:bottom w:val="single" w:color="auto" w:sz="4" w:space="0"/>
              <w:right w:val="single" w:color="auto" w:sz="4" w:space="0"/>
            </w:tcBorders>
            <w:vAlign w:val="center"/>
          </w:tcPr>
          <w:p w14:paraId="49BA980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上传单位</w:t>
            </w:r>
          </w:p>
        </w:tc>
        <w:tc>
          <w:tcPr>
            <w:tcW w:w="1940" w:type="dxa"/>
            <w:tcBorders>
              <w:top w:val="nil"/>
              <w:left w:val="nil"/>
              <w:bottom w:val="single" w:color="auto" w:sz="4" w:space="0"/>
              <w:right w:val="single" w:color="auto" w:sz="8" w:space="0"/>
            </w:tcBorders>
            <w:vAlign w:val="center"/>
          </w:tcPr>
          <w:p w14:paraId="16682FA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备注</w:t>
            </w:r>
          </w:p>
        </w:tc>
      </w:tr>
      <w:tr w14:paraId="16A34ECA">
        <w:tblPrEx>
          <w:tblCellMar>
            <w:top w:w="0" w:type="dxa"/>
            <w:left w:w="108" w:type="dxa"/>
            <w:bottom w:w="0" w:type="dxa"/>
            <w:right w:w="108" w:type="dxa"/>
          </w:tblCellMar>
        </w:tblPrEx>
        <w:trPr>
          <w:trHeight w:val="495" w:hRule="atLeast"/>
        </w:trPr>
        <w:tc>
          <w:tcPr>
            <w:tcW w:w="1580" w:type="dxa"/>
            <w:vMerge w:val="restart"/>
            <w:tcBorders>
              <w:top w:val="single" w:color="auto" w:sz="4" w:space="0"/>
              <w:left w:val="single" w:color="auto" w:sz="8" w:space="0"/>
              <w:bottom w:val="single" w:color="auto" w:sz="4" w:space="0"/>
              <w:right w:val="single" w:color="auto" w:sz="4" w:space="0"/>
            </w:tcBorders>
            <w:vAlign w:val="center"/>
          </w:tcPr>
          <w:p w14:paraId="2076491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外购能源消费量</w:t>
            </w:r>
          </w:p>
        </w:tc>
        <w:tc>
          <w:tcPr>
            <w:tcW w:w="1660" w:type="dxa"/>
            <w:tcBorders>
              <w:top w:val="nil"/>
              <w:left w:val="nil"/>
              <w:bottom w:val="single" w:color="auto" w:sz="4" w:space="0"/>
              <w:right w:val="single" w:color="auto" w:sz="4" w:space="0"/>
            </w:tcBorders>
            <w:vAlign w:val="center"/>
          </w:tcPr>
          <w:p w14:paraId="74DDF70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2000" w:type="dxa"/>
            <w:tcBorders>
              <w:top w:val="nil"/>
              <w:left w:val="nil"/>
              <w:bottom w:val="single" w:color="auto" w:sz="4" w:space="0"/>
              <w:right w:val="single" w:color="auto" w:sz="4" w:space="0"/>
            </w:tcBorders>
            <w:vAlign w:val="center"/>
          </w:tcPr>
          <w:p w14:paraId="0259B57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一般烟煤</w:t>
            </w:r>
          </w:p>
        </w:tc>
        <w:tc>
          <w:tcPr>
            <w:tcW w:w="1610" w:type="dxa"/>
            <w:tcBorders>
              <w:top w:val="nil"/>
              <w:left w:val="nil"/>
              <w:bottom w:val="single" w:color="auto" w:sz="4" w:space="0"/>
              <w:right w:val="single" w:color="auto" w:sz="4" w:space="0"/>
            </w:tcBorders>
            <w:vAlign w:val="center"/>
          </w:tcPr>
          <w:p w14:paraId="469235A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吨</w:t>
            </w:r>
          </w:p>
        </w:tc>
        <w:tc>
          <w:tcPr>
            <w:tcW w:w="1940" w:type="dxa"/>
            <w:tcBorders>
              <w:top w:val="nil"/>
              <w:left w:val="nil"/>
              <w:bottom w:val="single" w:color="auto" w:sz="4" w:space="0"/>
              <w:right w:val="single" w:color="auto" w:sz="8" w:space="0"/>
            </w:tcBorders>
            <w:vAlign w:val="center"/>
          </w:tcPr>
          <w:p w14:paraId="7221D2D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分机组锅炉入炉煤中一般烟煤的量</w:t>
            </w:r>
          </w:p>
        </w:tc>
      </w:tr>
      <w:tr w14:paraId="22D16317">
        <w:tblPrEx>
          <w:tblCellMar>
            <w:top w:w="0" w:type="dxa"/>
            <w:left w:w="108" w:type="dxa"/>
            <w:bottom w:w="0" w:type="dxa"/>
            <w:right w:w="108" w:type="dxa"/>
          </w:tblCellMar>
        </w:tblPrEx>
        <w:trPr>
          <w:trHeight w:val="320" w:hRule="atLeast"/>
        </w:trPr>
        <w:tc>
          <w:tcPr>
            <w:tcW w:w="1580" w:type="dxa"/>
            <w:vMerge w:val="continue"/>
            <w:tcBorders>
              <w:top w:val="single" w:color="auto" w:sz="4" w:space="0"/>
              <w:left w:val="single" w:color="auto" w:sz="8" w:space="0"/>
              <w:bottom w:val="single" w:color="auto" w:sz="4" w:space="0"/>
              <w:right w:val="single" w:color="auto" w:sz="4" w:space="0"/>
            </w:tcBorders>
            <w:vAlign w:val="center"/>
          </w:tcPr>
          <w:p w14:paraId="1212617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s="宋体" w:asciiTheme="minorEastAsia" w:hAnsiTheme="minorEastAsia" w:eastAsiaTheme="minorEastAsia"/>
                <w:color w:val="000000"/>
                <w:kern w:val="0"/>
                <w:sz w:val="18"/>
                <w:szCs w:val="18"/>
              </w:rPr>
            </w:pPr>
          </w:p>
        </w:tc>
        <w:tc>
          <w:tcPr>
            <w:tcW w:w="1660" w:type="dxa"/>
            <w:tcBorders>
              <w:top w:val="nil"/>
              <w:left w:val="nil"/>
              <w:bottom w:val="single" w:color="auto" w:sz="4" w:space="0"/>
              <w:right w:val="single" w:color="auto" w:sz="4" w:space="0"/>
            </w:tcBorders>
            <w:vAlign w:val="center"/>
          </w:tcPr>
          <w:p w14:paraId="6630FF8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w:t>
            </w:r>
          </w:p>
        </w:tc>
        <w:tc>
          <w:tcPr>
            <w:tcW w:w="2000" w:type="dxa"/>
            <w:tcBorders>
              <w:top w:val="nil"/>
              <w:left w:val="nil"/>
              <w:bottom w:val="single" w:color="auto" w:sz="4" w:space="0"/>
              <w:right w:val="single" w:color="auto" w:sz="4" w:space="0"/>
            </w:tcBorders>
            <w:vAlign w:val="center"/>
          </w:tcPr>
          <w:p w14:paraId="00C7787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燃料油</w:t>
            </w:r>
          </w:p>
        </w:tc>
        <w:tc>
          <w:tcPr>
            <w:tcW w:w="1610" w:type="dxa"/>
            <w:tcBorders>
              <w:top w:val="nil"/>
              <w:left w:val="nil"/>
              <w:bottom w:val="single" w:color="auto" w:sz="4" w:space="0"/>
              <w:right w:val="single" w:color="auto" w:sz="4" w:space="0"/>
            </w:tcBorders>
            <w:vAlign w:val="center"/>
          </w:tcPr>
          <w:p w14:paraId="7F66582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吨</w:t>
            </w:r>
          </w:p>
        </w:tc>
        <w:tc>
          <w:tcPr>
            <w:tcW w:w="1940" w:type="dxa"/>
            <w:tcBorders>
              <w:top w:val="nil"/>
              <w:left w:val="nil"/>
              <w:bottom w:val="single" w:color="auto" w:sz="4" w:space="0"/>
              <w:right w:val="single" w:color="auto" w:sz="8" w:space="0"/>
            </w:tcBorders>
            <w:vAlign w:val="center"/>
          </w:tcPr>
          <w:p w14:paraId="1451D7D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分机组锅炉用燃油量</w:t>
            </w:r>
          </w:p>
        </w:tc>
      </w:tr>
      <w:tr w14:paraId="4C39EBC5">
        <w:tblPrEx>
          <w:tblCellMar>
            <w:top w:w="0" w:type="dxa"/>
            <w:left w:w="108" w:type="dxa"/>
            <w:bottom w:w="0" w:type="dxa"/>
            <w:right w:w="108" w:type="dxa"/>
          </w:tblCellMar>
        </w:tblPrEx>
        <w:trPr>
          <w:trHeight w:val="230" w:hRule="atLeast"/>
        </w:trPr>
        <w:tc>
          <w:tcPr>
            <w:tcW w:w="1580" w:type="dxa"/>
            <w:vMerge w:val="continue"/>
            <w:tcBorders>
              <w:top w:val="single" w:color="auto" w:sz="4" w:space="0"/>
              <w:left w:val="single" w:color="auto" w:sz="8" w:space="0"/>
              <w:bottom w:val="single" w:color="auto" w:sz="4" w:space="0"/>
              <w:right w:val="single" w:color="auto" w:sz="4" w:space="0"/>
            </w:tcBorders>
            <w:vAlign w:val="center"/>
          </w:tcPr>
          <w:p w14:paraId="55D32DF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s="宋体" w:asciiTheme="minorEastAsia" w:hAnsiTheme="minorEastAsia" w:eastAsiaTheme="minorEastAsia"/>
                <w:color w:val="000000"/>
                <w:kern w:val="0"/>
                <w:sz w:val="18"/>
                <w:szCs w:val="18"/>
              </w:rPr>
            </w:pPr>
          </w:p>
        </w:tc>
        <w:tc>
          <w:tcPr>
            <w:tcW w:w="1660" w:type="dxa"/>
            <w:tcBorders>
              <w:top w:val="nil"/>
              <w:left w:val="nil"/>
              <w:bottom w:val="single" w:color="auto" w:sz="4" w:space="0"/>
              <w:right w:val="single" w:color="auto" w:sz="4" w:space="0"/>
            </w:tcBorders>
            <w:vAlign w:val="center"/>
          </w:tcPr>
          <w:p w14:paraId="21982B7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w:t>
            </w:r>
          </w:p>
        </w:tc>
        <w:tc>
          <w:tcPr>
            <w:tcW w:w="2000" w:type="dxa"/>
            <w:tcBorders>
              <w:top w:val="nil"/>
              <w:left w:val="nil"/>
              <w:bottom w:val="single" w:color="auto" w:sz="4" w:space="0"/>
              <w:right w:val="single" w:color="auto" w:sz="4" w:space="0"/>
            </w:tcBorders>
            <w:vAlign w:val="center"/>
          </w:tcPr>
          <w:p w14:paraId="65C72A1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电力</w:t>
            </w:r>
          </w:p>
        </w:tc>
        <w:tc>
          <w:tcPr>
            <w:tcW w:w="1610" w:type="dxa"/>
            <w:tcBorders>
              <w:top w:val="nil"/>
              <w:left w:val="nil"/>
              <w:bottom w:val="single" w:color="auto" w:sz="4" w:space="0"/>
              <w:right w:val="single" w:color="auto" w:sz="4" w:space="0"/>
            </w:tcBorders>
            <w:vAlign w:val="center"/>
          </w:tcPr>
          <w:p w14:paraId="24A5F23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千瓦时</w:t>
            </w:r>
          </w:p>
        </w:tc>
        <w:tc>
          <w:tcPr>
            <w:tcW w:w="1940" w:type="dxa"/>
            <w:tcBorders>
              <w:top w:val="nil"/>
              <w:left w:val="nil"/>
              <w:bottom w:val="single" w:color="auto" w:sz="4" w:space="0"/>
              <w:right w:val="single" w:color="auto" w:sz="8" w:space="0"/>
            </w:tcBorders>
            <w:vAlign w:val="center"/>
          </w:tcPr>
          <w:p w14:paraId="0D49331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分机组外购</w:t>
            </w:r>
          </w:p>
        </w:tc>
      </w:tr>
      <w:tr w14:paraId="5CA17ACA">
        <w:tblPrEx>
          <w:tblCellMar>
            <w:top w:w="0" w:type="dxa"/>
            <w:left w:w="108" w:type="dxa"/>
            <w:bottom w:w="0" w:type="dxa"/>
            <w:right w:w="108" w:type="dxa"/>
          </w:tblCellMar>
        </w:tblPrEx>
        <w:trPr>
          <w:trHeight w:val="320" w:hRule="atLeast"/>
        </w:trPr>
        <w:tc>
          <w:tcPr>
            <w:tcW w:w="1580" w:type="dxa"/>
            <w:tcBorders>
              <w:top w:val="single" w:color="auto" w:sz="4" w:space="0"/>
              <w:left w:val="single" w:color="auto" w:sz="8" w:space="0"/>
              <w:bottom w:val="single" w:color="auto" w:sz="4" w:space="0"/>
              <w:right w:val="single" w:color="auto" w:sz="4" w:space="0"/>
            </w:tcBorders>
            <w:vAlign w:val="center"/>
          </w:tcPr>
          <w:p w14:paraId="6516CC6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外供量</w:t>
            </w:r>
          </w:p>
        </w:tc>
        <w:tc>
          <w:tcPr>
            <w:tcW w:w="1660" w:type="dxa"/>
            <w:tcBorders>
              <w:top w:val="nil"/>
              <w:left w:val="nil"/>
              <w:bottom w:val="single" w:color="auto" w:sz="4" w:space="0"/>
              <w:right w:val="single" w:color="auto" w:sz="4" w:space="0"/>
            </w:tcBorders>
            <w:vAlign w:val="center"/>
          </w:tcPr>
          <w:p w14:paraId="36ACF54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2000" w:type="dxa"/>
            <w:tcBorders>
              <w:top w:val="nil"/>
              <w:left w:val="nil"/>
              <w:bottom w:val="single" w:color="auto" w:sz="4" w:space="0"/>
              <w:right w:val="single" w:color="auto" w:sz="4" w:space="0"/>
            </w:tcBorders>
            <w:vAlign w:val="center"/>
          </w:tcPr>
          <w:p w14:paraId="244A2E1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电力</w:t>
            </w:r>
          </w:p>
        </w:tc>
        <w:tc>
          <w:tcPr>
            <w:tcW w:w="1610" w:type="dxa"/>
            <w:tcBorders>
              <w:top w:val="nil"/>
              <w:left w:val="nil"/>
              <w:bottom w:val="single" w:color="auto" w:sz="4" w:space="0"/>
              <w:right w:val="single" w:color="auto" w:sz="4" w:space="0"/>
            </w:tcBorders>
            <w:vAlign w:val="center"/>
          </w:tcPr>
          <w:p w14:paraId="4CD6C98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千瓦时</w:t>
            </w:r>
          </w:p>
        </w:tc>
        <w:tc>
          <w:tcPr>
            <w:tcW w:w="1940" w:type="dxa"/>
            <w:tcBorders>
              <w:top w:val="nil"/>
              <w:left w:val="nil"/>
              <w:bottom w:val="single" w:color="auto" w:sz="4" w:space="0"/>
              <w:right w:val="single" w:color="auto" w:sz="8" w:space="0"/>
            </w:tcBorders>
            <w:vAlign w:val="center"/>
          </w:tcPr>
          <w:p w14:paraId="66FEEB9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分机组</w:t>
            </w:r>
          </w:p>
        </w:tc>
      </w:tr>
      <w:tr w14:paraId="5A03348E">
        <w:tblPrEx>
          <w:tblCellMar>
            <w:top w:w="0" w:type="dxa"/>
            <w:left w:w="108" w:type="dxa"/>
            <w:bottom w:w="0" w:type="dxa"/>
            <w:right w:w="108" w:type="dxa"/>
          </w:tblCellMar>
        </w:tblPrEx>
        <w:trPr>
          <w:trHeight w:val="353" w:hRule="atLeast"/>
        </w:trPr>
        <w:tc>
          <w:tcPr>
            <w:tcW w:w="8790" w:type="dxa"/>
            <w:gridSpan w:val="5"/>
            <w:tcBorders>
              <w:top w:val="single" w:color="auto" w:sz="4" w:space="0"/>
              <w:left w:val="single" w:color="auto" w:sz="8" w:space="0"/>
              <w:bottom w:val="single" w:color="auto" w:sz="4" w:space="0"/>
              <w:right w:val="single" w:color="000000" w:sz="8" w:space="0"/>
            </w:tcBorders>
            <w:vAlign w:val="center"/>
          </w:tcPr>
          <w:p w14:paraId="39F07D4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5、电力生产/热力生产和供应企业每日、每月采集上传的机组能源消费量指标</w:t>
            </w:r>
          </w:p>
        </w:tc>
      </w:tr>
      <w:tr w14:paraId="3FF8AE92">
        <w:tblPrEx>
          <w:tblCellMar>
            <w:top w:w="0" w:type="dxa"/>
            <w:left w:w="108" w:type="dxa"/>
            <w:bottom w:w="0" w:type="dxa"/>
            <w:right w:w="108" w:type="dxa"/>
          </w:tblCellMar>
        </w:tblPrEx>
        <w:trPr>
          <w:trHeight w:val="313" w:hRule="atLeast"/>
        </w:trPr>
        <w:tc>
          <w:tcPr>
            <w:tcW w:w="1580" w:type="dxa"/>
            <w:tcBorders>
              <w:top w:val="single" w:color="auto" w:sz="4" w:space="0"/>
              <w:left w:val="single" w:color="auto" w:sz="8" w:space="0"/>
              <w:bottom w:val="single" w:color="auto" w:sz="4" w:space="0"/>
              <w:right w:val="single" w:color="auto" w:sz="4" w:space="0"/>
            </w:tcBorders>
            <w:vAlign w:val="center"/>
          </w:tcPr>
          <w:p w14:paraId="4804200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指标分类</w:t>
            </w:r>
          </w:p>
        </w:tc>
        <w:tc>
          <w:tcPr>
            <w:tcW w:w="1660" w:type="dxa"/>
            <w:tcBorders>
              <w:top w:val="nil"/>
              <w:left w:val="nil"/>
              <w:bottom w:val="single" w:color="auto" w:sz="4" w:space="0"/>
              <w:right w:val="single" w:color="auto" w:sz="4" w:space="0"/>
            </w:tcBorders>
            <w:vAlign w:val="center"/>
          </w:tcPr>
          <w:p w14:paraId="614D6A5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序号</w:t>
            </w:r>
          </w:p>
        </w:tc>
        <w:tc>
          <w:tcPr>
            <w:tcW w:w="2000" w:type="dxa"/>
            <w:tcBorders>
              <w:top w:val="nil"/>
              <w:left w:val="nil"/>
              <w:bottom w:val="single" w:color="auto" w:sz="4" w:space="0"/>
              <w:right w:val="single" w:color="auto" w:sz="4" w:space="0"/>
            </w:tcBorders>
            <w:vAlign w:val="center"/>
          </w:tcPr>
          <w:p w14:paraId="71F61FA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数据指标</w:t>
            </w:r>
          </w:p>
        </w:tc>
        <w:tc>
          <w:tcPr>
            <w:tcW w:w="1610" w:type="dxa"/>
            <w:tcBorders>
              <w:top w:val="nil"/>
              <w:left w:val="nil"/>
              <w:bottom w:val="single" w:color="auto" w:sz="4" w:space="0"/>
              <w:right w:val="single" w:color="auto" w:sz="4" w:space="0"/>
            </w:tcBorders>
            <w:vAlign w:val="center"/>
          </w:tcPr>
          <w:p w14:paraId="0A28B6B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单位</w:t>
            </w:r>
          </w:p>
        </w:tc>
        <w:tc>
          <w:tcPr>
            <w:tcW w:w="1940" w:type="dxa"/>
            <w:tcBorders>
              <w:top w:val="nil"/>
              <w:left w:val="nil"/>
              <w:bottom w:val="single" w:color="auto" w:sz="4" w:space="0"/>
              <w:right w:val="single" w:color="auto" w:sz="8" w:space="0"/>
            </w:tcBorders>
            <w:vAlign w:val="center"/>
          </w:tcPr>
          <w:p w14:paraId="56F63FC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备注</w:t>
            </w:r>
          </w:p>
        </w:tc>
      </w:tr>
      <w:tr w14:paraId="3A3A2AA9">
        <w:tblPrEx>
          <w:tblCellMar>
            <w:top w:w="0" w:type="dxa"/>
            <w:left w:w="108" w:type="dxa"/>
            <w:bottom w:w="0" w:type="dxa"/>
            <w:right w:w="108" w:type="dxa"/>
          </w:tblCellMar>
        </w:tblPrEx>
        <w:trPr>
          <w:trHeight w:val="313" w:hRule="atLeast"/>
        </w:trPr>
        <w:tc>
          <w:tcPr>
            <w:tcW w:w="1580" w:type="dxa"/>
            <w:vMerge w:val="restart"/>
            <w:tcBorders>
              <w:top w:val="single" w:color="auto" w:sz="4" w:space="0"/>
              <w:left w:val="single" w:color="auto" w:sz="8" w:space="0"/>
              <w:bottom w:val="single" w:color="auto" w:sz="4" w:space="0"/>
              <w:right w:val="single" w:color="auto" w:sz="4" w:space="0"/>
            </w:tcBorders>
            <w:vAlign w:val="center"/>
          </w:tcPr>
          <w:p w14:paraId="424E009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企业能效</w:t>
            </w:r>
          </w:p>
        </w:tc>
        <w:tc>
          <w:tcPr>
            <w:tcW w:w="1660" w:type="dxa"/>
            <w:tcBorders>
              <w:top w:val="nil"/>
              <w:left w:val="nil"/>
              <w:bottom w:val="single" w:color="auto" w:sz="4" w:space="0"/>
              <w:right w:val="single" w:color="auto" w:sz="4" w:space="0"/>
            </w:tcBorders>
            <w:vAlign w:val="center"/>
          </w:tcPr>
          <w:p w14:paraId="457A5E4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2000" w:type="dxa"/>
            <w:tcBorders>
              <w:top w:val="nil"/>
              <w:left w:val="nil"/>
              <w:bottom w:val="single" w:color="auto" w:sz="4" w:space="0"/>
              <w:right w:val="single" w:color="auto" w:sz="4" w:space="0"/>
            </w:tcBorders>
            <w:vAlign w:val="center"/>
          </w:tcPr>
          <w:p w14:paraId="027EA79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供电标准煤耗率</w:t>
            </w:r>
          </w:p>
        </w:tc>
        <w:tc>
          <w:tcPr>
            <w:tcW w:w="1610" w:type="dxa"/>
            <w:tcBorders>
              <w:top w:val="nil"/>
              <w:left w:val="nil"/>
              <w:bottom w:val="single" w:color="auto" w:sz="4" w:space="0"/>
              <w:right w:val="single" w:color="auto" w:sz="4" w:space="0"/>
            </w:tcBorders>
            <w:vAlign w:val="center"/>
          </w:tcPr>
          <w:p w14:paraId="4FEF829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克标准煤/千瓦时</w:t>
            </w:r>
          </w:p>
        </w:tc>
        <w:tc>
          <w:tcPr>
            <w:tcW w:w="1940" w:type="dxa"/>
            <w:tcBorders>
              <w:top w:val="nil"/>
              <w:left w:val="nil"/>
              <w:bottom w:val="single" w:color="auto" w:sz="4" w:space="0"/>
              <w:right w:val="single" w:color="auto" w:sz="8" w:space="0"/>
            </w:tcBorders>
            <w:vAlign w:val="center"/>
          </w:tcPr>
          <w:p w14:paraId="327128E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分机组</w:t>
            </w:r>
          </w:p>
        </w:tc>
      </w:tr>
      <w:tr w14:paraId="68A6EAEA">
        <w:tblPrEx>
          <w:tblCellMar>
            <w:top w:w="0" w:type="dxa"/>
            <w:left w:w="108" w:type="dxa"/>
            <w:bottom w:w="0" w:type="dxa"/>
            <w:right w:w="108" w:type="dxa"/>
          </w:tblCellMar>
        </w:tblPrEx>
        <w:trPr>
          <w:trHeight w:val="313" w:hRule="atLeast"/>
        </w:trPr>
        <w:tc>
          <w:tcPr>
            <w:tcW w:w="1580" w:type="dxa"/>
            <w:vMerge w:val="continue"/>
            <w:tcBorders>
              <w:top w:val="single" w:color="auto" w:sz="4" w:space="0"/>
              <w:left w:val="single" w:color="auto" w:sz="8" w:space="0"/>
              <w:bottom w:val="single" w:color="auto" w:sz="4" w:space="0"/>
              <w:right w:val="single" w:color="auto" w:sz="4" w:space="0"/>
            </w:tcBorders>
            <w:vAlign w:val="center"/>
          </w:tcPr>
          <w:p w14:paraId="648376F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s="宋体" w:asciiTheme="minorEastAsia" w:hAnsiTheme="minorEastAsia" w:eastAsiaTheme="minorEastAsia"/>
                <w:color w:val="000000"/>
                <w:kern w:val="0"/>
                <w:sz w:val="18"/>
                <w:szCs w:val="18"/>
              </w:rPr>
            </w:pPr>
          </w:p>
        </w:tc>
        <w:tc>
          <w:tcPr>
            <w:tcW w:w="1660" w:type="dxa"/>
            <w:tcBorders>
              <w:top w:val="nil"/>
              <w:left w:val="nil"/>
              <w:bottom w:val="single" w:color="auto" w:sz="4" w:space="0"/>
              <w:right w:val="single" w:color="auto" w:sz="4" w:space="0"/>
            </w:tcBorders>
            <w:vAlign w:val="center"/>
          </w:tcPr>
          <w:p w14:paraId="2277352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w:t>
            </w:r>
          </w:p>
        </w:tc>
        <w:tc>
          <w:tcPr>
            <w:tcW w:w="2000" w:type="dxa"/>
            <w:tcBorders>
              <w:top w:val="nil"/>
              <w:left w:val="nil"/>
              <w:bottom w:val="single" w:color="auto" w:sz="4" w:space="0"/>
              <w:right w:val="single" w:color="auto" w:sz="4" w:space="0"/>
            </w:tcBorders>
            <w:vAlign w:val="center"/>
          </w:tcPr>
          <w:p w14:paraId="523EC9B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发电标准煤耗率</w:t>
            </w:r>
          </w:p>
        </w:tc>
        <w:tc>
          <w:tcPr>
            <w:tcW w:w="1610" w:type="dxa"/>
            <w:tcBorders>
              <w:top w:val="nil"/>
              <w:left w:val="nil"/>
              <w:bottom w:val="single" w:color="auto" w:sz="4" w:space="0"/>
              <w:right w:val="single" w:color="auto" w:sz="4" w:space="0"/>
            </w:tcBorders>
            <w:vAlign w:val="center"/>
          </w:tcPr>
          <w:p w14:paraId="4DCD8CA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克标准煤/千瓦时</w:t>
            </w:r>
          </w:p>
        </w:tc>
        <w:tc>
          <w:tcPr>
            <w:tcW w:w="1940" w:type="dxa"/>
            <w:tcBorders>
              <w:top w:val="nil"/>
              <w:left w:val="nil"/>
              <w:bottom w:val="single" w:color="auto" w:sz="4" w:space="0"/>
              <w:right w:val="single" w:color="auto" w:sz="8" w:space="0"/>
            </w:tcBorders>
            <w:vAlign w:val="center"/>
          </w:tcPr>
          <w:p w14:paraId="6199E9B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分机组</w:t>
            </w:r>
          </w:p>
        </w:tc>
      </w:tr>
      <w:tr w14:paraId="2DA512B4">
        <w:tblPrEx>
          <w:tblCellMar>
            <w:top w:w="0" w:type="dxa"/>
            <w:left w:w="108" w:type="dxa"/>
            <w:bottom w:w="0" w:type="dxa"/>
            <w:right w:w="108" w:type="dxa"/>
          </w:tblCellMar>
        </w:tblPrEx>
        <w:trPr>
          <w:trHeight w:val="313" w:hRule="atLeast"/>
        </w:trPr>
        <w:tc>
          <w:tcPr>
            <w:tcW w:w="1580" w:type="dxa"/>
            <w:vMerge w:val="continue"/>
            <w:tcBorders>
              <w:top w:val="single" w:color="auto" w:sz="4" w:space="0"/>
              <w:left w:val="single" w:color="auto" w:sz="8" w:space="0"/>
              <w:bottom w:val="single" w:color="auto" w:sz="4" w:space="0"/>
              <w:right w:val="single" w:color="auto" w:sz="4" w:space="0"/>
            </w:tcBorders>
            <w:vAlign w:val="center"/>
          </w:tcPr>
          <w:p w14:paraId="668EF50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s="宋体" w:asciiTheme="minorEastAsia" w:hAnsiTheme="minorEastAsia" w:eastAsiaTheme="minorEastAsia"/>
                <w:color w:val="000000"/>
                <w:kern w:val="0"/>
                <w:sz w:val="18"/>
                <w:szCs w:val="18"/>
              </w:rPr>
            </w:pPr>
          </w:p>
        </w:tc>
        <w:tc>
          <w:tcPr>
            <w:tcW w:w="1660" w:type="dxa"/>
            <w:tcBorders>
              <w:top w:val="nil"/>
              <w:left w:val="nil"/>
              <w:bottom w:val="single" w:color="auto" w:sz="4" w:space="0"/>
              <w:right w:val="single" w:color="auto" w:sz="4" w:space="0"/>
            </w:tcBorders>
            <w:vAlign w:val="center"/>
          </w:tcPr>
          <w:p w14:paraId="155A646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w:t>
            </w:r>
          </w:p>
        </w:tc>
        <w:tc>
          <w:tcPr>
            <w:tcW w:w="2000" w:type="dxa"/>
            <w:tcBorders>
              <w:top w:val="nil"/>
              <w:left w:val="nil"/>
              <w:bottom w:val="single" w:color="auto" w:sz="4" w:space="0"/>
              <w:right w:val="single" w:color="auto" w:sz="4" w:space="0"/>
            </w:tcBorders>
            <w:vAlign w:val="center"/>
          </w:tcPr>
          <w:p w14:paraId="47CACE5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厂用电率</w:t>
            </w:r>
          </w:p>
        </w:tc>
        <w:tc>
          <w:tcPr>
            <w:tcW w:w="1610" w:type="dxa"/>
            <w:tcBorders>
              <w:top w:val="nil"/>
              <w:left w:val="nil"/>
              <w:bottom w:val="single" w:color="auto" w:sz="4" w:space="0"/>
              <w:right w:val="single" w:color="auto" w:sz="4" w:space="0"/>
            </w:tcBorders>
            <w:vAlign w:val="center"/>
          </w:tcPr>
          <w:p w14:paraId="4A5A89F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百分比</w:t>
            </w:r>
          </w:p>
        </w:tc>
        <w:tc>
          <w:tcPr>
            <w:tcW w:w="1940" w:type="dxa"/>
            <w:tcBorders>
              <w:top w:val="nil"/>
              <w:left w:val="nil"/>
              <w:bottom w:val="single" w:color="auto" w:sz="4" w:space="0"/>
              <w:right w:val="single" w:color="auto" w:sz="8" w:space="0"/>
            </w:tcBorders>
            <w:vAlign w:val="center"/>
          </w:tcPr>
          <w:p w14:paraId="0E6AAE1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分机组</w:t>
            </w:r>
          </w:p>
        </w:tc>
      </w:tr>
      <w:tr w14:paraId="3194959C">
        <w:tblPrEx>
          <w:tblCellMar>
            <w:top w:w="0" w:type="dxa"/>
            <w:left w:w="108" w:type="dxa"/>
            <w:bottom w:w="0" w:type="dxa"/>
            <w:right w:w="108" w:type="dxa"/>
          </w:tblCellMar>
        </w:tblPrEx>
        <w:trPr>
          <w:trHeight w:val="313" w:hRule="atLeast"/>
        </w:trPr>
        <w:tc>
          <w:tcPr>
            <w:tcW w:w="1580" w:type="dxa"/>
            <w:vMerge w:val="continue"/>
            <w:tcBorders>
              <w:top w:val="single" w:color="auto" w:sz="4" w:space="0"/>
              <w:left w:val="single" w:color="auto" w:sz="8" w:space="0"/>
              <w:bottom w:val="single" w:color="auto" w:sz="4" w:space="0"/>
              <w:right w:val="single" w:color="auto" w:sz="4" w:space="0"/>
            </w:tcBorders>
            <w:vAlign w:val="center"/>
          </w:tcPr>
          <w:p w14:paraId="30CB4A4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s="宋体" w:asciiTheme="minorEastAsia" w:hAnsiTheme="minorEastAsia" w:eastAsiaTheme="minorEastAsia"/>
                <w:color w:val="000000"/>
                <w:kern w:val="0"/>
                <w:sz w:val="18"/>
                <w:szCs w:val="18"/>
              </w:rPr>
            </w:pPr>
          </w:p>
        </w:tc>
        <w:tc>
          <w:tcPr>
            <w:tcW w:w="1660" w:type="dxa"/>
            <w:tcBorders>
              <w:top w:val="nil"/>
              <w:left w:val="nil"/>
              <w:bottom w:val="single" w:color="auto" w:sz="4" w:space="0"/>
              <w:right w:val="single" w:color="auto" w:sz="4" w:space="0"/>
            </w:tcBorders>
            <w:vAlign w:val="center"/>
          </w:tcPr>
          <w:p w14:paraId="01ED32D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w:t>
            </w:r>
          </w:p>
        </w:tc>
        <w:tc>
          <w:tcPr>
            <w:tcW w:w="2000" w:type="dxa"/>
            <w:tcBorders>
              <w:top w:val="nil"/>
              <w:left w:val="nil"/>
              <w:bottom w:val="single" w:color="auto" w:sz="4" w:space="0"/>
              <w:right w:val="single" w:color="auto" w:sz="4" w:space="0"/>
            </w:tcBorders>
            <w:vAlign w:val="center"/>
          </w:tcPr>
          <w:p w14:paraId="03C3A8D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锅炉热效率</w:t>
            </w:r>
          </w:p>
        </w:tc>
        <w:tc>
          <w:tcPr>
            <w:tcW w:w="1610" w:type="dxa"/>
            <w:tcBorders>
              <w:top w:val="nil"/>
              <w:left w:val="nil"/>
              <w:bottom w:val="single" w:color="auto" w:sz="4" w:space="0"/>
              <w:right w:val="single" w:color="auto" w:sz="4" w:space="0"/>
            </w:tcBorders>
            <w:vAlign w:val="center"/>
          </w:tcPr>
          <w:p w14:paraId="0431E27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百分比</w:t>
            </w:r>
          </w:p>
        </w:tc>
        <w:tc>
          <w:tcPr>
            <w:tcW w:w="1940" w:type="dxa"/>
            <w:tcBorders>
              <w:top w:val="nil"/>
              <w:left w:val="nil"/>
              <w:bottom w:val="single" w:color="auto" w:sz="4" w:space="0"/>
              <w:right w:val="single" w:color="auto" w:sz="8" w:space="0"/>
            </w:tcBorders>
            <w:vAlign w:val="center"/>
          </w:tcPr>
          <w:p w14:paraId="08C9678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分机组</w:t>
            </w:r>
          </w:p>
        </w:tc>
      </w:tr>
      <w:tr w14:paraId="6841755F">
        <w:tblPrEx>
          <w:tblCellMar>
            <w:top w:w="0" w:type="dxa"/>
            <w:left w:w="108" w:type="dxa"/>
            <w:bottom w:w="0" w:type="dxa"/>
            <w:right w:w="108" w:type="dxa"/>
          </w:tblCellMar>
        </w:tblPrEx>
        <w:trPr>
          <w:trHeight w:val="313" w:hRule="atLeast"/>
        </w:trPr>
        <w:tc>
          <w:tcPr>
            <w:tcW w:w="1580" w:type="dxa"/>
            <w:vMerge w:val="continue"/>
            <w:tcBorders>
              <w:top w:val="single" w:color="auto" w:sz="4" w:space="0"/>
              <w:left w:val="single" w:color="auto" w:sz="8" w:space="0"/>
              <w:bottom w:val="single" w:color="auto" w:sz="4" w:space="0"/>
              <w:right w:val="single" w:color="auto" w:sz="4" w:space="0"/>
            </w:tcBorders>
            <w:vAlign w:val="center"/>
          </w:tcPr>
          <w:p w14:paraId="2C3C5B2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s="宋体" w:asciiTheme="minorEastAsia" w:hAnsiTheme="minorEastAsia" w:eastAsiaTheme="minorEastAsia"/>
                <w:color w:val="000000"/>
                <w:kern w:val="0"/>
                <w:sz w:val="18"/>
                <w:szCs w:val="18"/>
              </w:rPr>
            </w:pPr>
          </w:p>
        </w:tc>
        <w:tc>
          <w:tcPr>
            <w:tcW w:w="1660" w:type="dxa"/>
            <w:tcBorders>
              <w:top w:val="nil"/>
              <w:left w:val="nil"/>
              <w:bottom w:val="single" w:color="auto" w:sz="4" w:space="0"/>
              <w:right w:val="single" w:color="auto" w:sz="4" w:space="0"/>
            </w:tcBorders>
            <w:vAlign w:val="center"/>
          </w:tcPr>
          <w:p w14:paraId="2280C6F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w:t>
            </w:r>
          </w:p>
        </w:tc>
        <w:tc>
          <w:tcPr>
            <w:tcW w:w="2000" w:type="dxa"/>
            <w:tcBorders>
              <w:top w:val="nil"/>
              <w:left w:val="nil"/>
              <w:bottom w:val="single" w:color="auto" w:sz="4" w:space="0"/>
              <w:right w:val="single" w:color="auto" w:sz="4" w:space="0"/>
            </w:tcBorders>
            <w:vAlign w:val="center"/>
          </w:tcPr>
          <w:p w14:paraId="415C9B0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汽轮机热耗率</w:t>
            </w:r>
          </w:p>
        </w:tc>
        <w:tc>
          <w:tcPr>
            <w:tcW w:w="1610" w:type="dxa"/>
            <w:tcBorders>
              <w:top w:val="nil"/>
              <w:left w:val="nil"/>
              <w:bottom w:val="single" w:color="auto" w:sz="4" w:space="0"/>
              <w:right w:val="single" w:color="auto" w:sz="4" w:space="0"/>
            </w:tcBorders>
            <w:vAlign w:val="center"/>
          </w:tcPr>
          <w:p w14:paraId="18B40F5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千焦/千瓦时</w:t>
            </w:r>
          </w:p>
        </w:tc>
        <w:tc>
          <w:tcPr>
            <w:tcW w:w="1940" w:type="dxa"/>
            <w:tcBorders>
              <w:top w:val="nil"/>
              <w:left w:val="nil"/>
              <w:bottom w:val="single" w:color="auto" w:sz="4" w:space="0"/>
              <w:right w:val="single" w:color="auto" w:sz="8" w:space="0"/>
            </w:tcBorders>
            <w:vAlign w:val="center"/>
          </w:tcPr>
          <w:p w14:paraId="4EBDF3D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6"/>
                <w:szCs w:val="16"/>
              </w:rPr>
              <w:t>分机组（纯凝机组指标）</w:t>
            </w:r>
          </w:p>
        </w:tc>
      </w:tr>
      <w:tr w14:paraId="54BEF273">
        <w:tblPrEx>
          <w:tblCellMar>
            <w:top w:w="0" w:type="dxa"/>
            <w:left w:w="108" w:type="dxa"/>
            <w:bottom w:w="0" w:type="dxa"/>
            <w:right w:w="108" w:type="dxa"/>
          </w:tblCellMar>
        </w:tblPrEx>
        <w:trPr>
          <w:trHeight w:val="394" w:hRule="atLeast"/>
        </w:trPr>
        <w:tc>
          <w:tcPr>
            <w:tcW w:w="8790" w:type="dxa"/>
            <w:gridSpan w:val="5"/>
            <w:tcBorders>
              <w:top w:val="single" w:color="auto" w:sz="4" w:space="0"/>
              <w:left w:val="single" w:color="auto" w:sz="8" w:space="0"/>
              <w:bottom w:val="single" w:color="auto" w:sz="4" w:space="0"/>
              <w:right w:val="single" w:color="000000" w:sz="8" w:space="0"/>
            </w:tcBorders>
            <w:vAlign w:val="center"/>
          </w:tcPr>
          <w:p w14:paraId="0B1B631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6、电力生产/热力生产和供应企业每日、每月采集上传的机组能源消费量指标</w:t>
            </w:r>
          </w:p>
        </w:tc>
      </w:tr>
      <w:tr w14:paraId="46895E69">
        <w:tblPrEx>
          <w:tblCellMar>
            <w:top w:w="0" w:type="dxa"/>
            <w:left w:w="108" w:type="dxa"/>
            <w:bottom w:w="0" w:type="dxa"/>
            <w:right w:w="108" w:type="dxa"/>
          </w:tblCellMar>
        </w:tblPrEx>
        <w:trPr>
          <w:trHeight w:val="394" w:hRule="atLeast"/>
        </w:trPr>
        <w:tc>
          <w:tcPr>
            <w:tcW w:w="1580" w:type="dxa"/>
            <w:tcBorders>
              <w:top w:val="single" w:color="auto" w:sz="4" w:space="0"/>
              <w:left w:val="single" w:color="auto" w:sz="8" w:space="0"/>
              <w:bottom w:val="single" w:color="auto" w:sz="4" w:space="0"/>
              <w:right w:val="single" w:color="auto" w:sz="4" w:space="0"/>
            </w:tcBorders>
            <w:vAlign w:val="center"/>
          </w:tcPr>
          <w:p w14:paraId="15141DE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指标分类</w:t>
            </w:r>
          </w:p>
        </w:tc>
        <w:tc>
          <w:tcPr>
            <w:tcW w:w="1660" w:type="dxa"/>
            <w:tcBorders>
              <w:top w:val="nil"/>
              <w:left w:val="nil"/>
              <w:bottom w:val="single" w:color="auto" w:sz="4" w:space="0"/>
              <w:right w:val="single" w:color="auto" w:sz="4" w:space="0"/>
            </w:tcBorders>
            <w:vAlign w:val="center"/>
          </w:tcPr>
          <w:p w14:paraId="3FCBA23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序号</w:t>
            </w:r>
          </w:p>
        </w:tc>
        <w:tc>
          <w:tcPr>
            <w:tcW w:w="2000" w:type="dxa"/>
            <w:tcBorders>
              <w:top w:val="nil"/>
              <w:left w:val="nil"/>
              <w:bottom w:val="single" w:color="auto" w:sz="4" w:space="0"/>
              <w:right w:val="single" w:color="auto" w:sz="4" w:space="0"/>
            </w:tcBorders>
            <w:vAlign w:val="center"/>
          </w:tcPr>
          <w:p w14:paraId="021A475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能源品种/数据指标</w:t>
            </w:r>
          </w:p>
        </w:tc>
        <w:tc>
          <w:tcPr>
            <w:tcW w:w="1610" w:type="dxa"/>
            <w:tcBorders>
              <w:top w:val="nil"/>
              <w:left w:val="nil"/>
              <w:bottom w:val="single" w:color="auto" w:sz="4" w:space="0"/>
              <w:right w:val="single" w:color="auto" w:sz="4" w:space="0"/>
            </w:tcBorders>
            <w:vAlign w:val="center"/>
          </w:tcPr>
          <w:p w14:paraId="45305D2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上传单位</w:t>
            </w:r>
          </w:p>
        </w:tc>
        <w:tc>
          <w:tcPr>
            <w:tcW w:w="1940" w:type="dxa"/>
            <w:tcBorders>
              <w:top w:val="nil"/>
              <w:left w:val="nil"/>
              <w:bottom w:val="single" w:color="auto" w:sz="4" w:space="0"/>
              <w:right w:val="single" w:color="auto" w:sz="8" w:space="0"/>
            </w:tcBorders>
            <w:vAlign w:val="center"/>
          </w:tcPr>
          <w:p w14:paraId="6B736F7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备注</w:t>
            </w:r>
          </w:p>
        </w:tc>
      </w:tr>
      <w:tr w14:paraId="27F96A14">
        <w:tblPrEx>
          <w:tblCellMar>
            <w:top w:w="0" w:type="dxa"/>
            <w:left w:w="108" w:type="dxa"/>
            <w:bottom w:w="0" w:type="dxa"/>
            <w:right w:w="108" w:type="dxa"/>
          </w:tblCellMar>
        </w:tblPrEx>
        <w:trPr>
          <w:trHeight w:val="394" w:hRule="atLeast"/>
        </w:trPr>
        <w:tc>
          <w:tcPr>
            <w:tcW w:w="1580" w:type="dxa"/>
            <w:tcBorders>
              <w:top w:val="single" w:color="auto" w:sz="4" w:space="0"/>
              <w:left w:val="single" w:color="auto" w:sz="8" w:space="0"/>
              <w:bottom w:val="single" w:color="auto" w:sz="8" w:space="0"/>
              <w:right w:val="single" w:color="auto" w:sz="4" w:space="0"/>
            </w:tcBorders>
            <w:vAlign w:val="center"/>
          </w:tcPr>
          <w:p w14:paraId="1EF7C4F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产品产量</w:t>
            </w:r>
          </w:p>
        </w:tc>
        <w:tc>
          <w:tcPr>
            <w:tcW w:w="1660" w:type="dxa"/>
            <w:tcBorders>
              <w:top w:val="nil"/>
              <w:left w:val="nil"/>
              <w:bottom w:val="single" w:color="auto" w:sz="8" w:space="0"/>
              <w:right w:val="single" w:color="auto" w:sz="4" w:space="0"/>
            </w:tcBorders>
            <w:vAlign w:val="center"/>
          </w:tcPr>
          <w:p w14:paraId="224C74B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2000" w:type="dxa"/>
            <w:tcBorders>
              <w:top w:val="nil"/>
              <w:left w:val="nil"/>
              <w:bottom w:val="single" w:color="auto" w:sz="8" w:space="0"/>
              <w:right w:val="single" w:color="auto" w:sz="4" w:space="0"/>
            </w:tcBorders>
            <w:vAlign w:val="center"/>
          </w:tcPr>
          <w:p w14:paraId="6A25D49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电力</w:t>
            </w:r>
          </w:p>
        </w:tc>
        <w:tc>
          <w:tcPr>
            <w:tcW w:w="1610" w:type="dxa"/>
            <w:tcBorders>
              <w:top w:val="nil"/>
              <w:left w:val="nil"/>
              <w:bottom w:val="single" w:color="auto" w:sz="8" w:space="0"/>
              <w:right w:val="single" w:color="auto" w:sz="4" w:space="0"/>
            </w:tcBorders>
            <w:vAlign w:val="center"/>
          </w:tcPr>
          <w:p w14:paraId="485A5FD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千瓦时</w:t>
            </w:r>
          </w:p>
        </w:tc>
        <w:tc>
          <w:tcPr>
            <w:tcW w:w="1940" w:type="dxa"/>
            <w:tcBorders>
              <w:top w:val="nil"/>
              <w:left w:val="nil"/>
              <w:bottom w:val="single" w:color="auto" w:sz="8" w:space="0"/>
              <w:right w:val="single" w:color="auto" w:sz="8" w:space="0"/>
            </w:tcBorders>
            <w:vAlign w:val="center"/>
          </w:tcPr>
          <w:p w14:paraId="4E1C1FB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分机组的上网电量</w:t>
            </w:r>
          </w:p>
        </w:tc>
      </w:tr>
    </w:tbl>
    <w:p w14:paraId="26673664">
      <w:pPr>
        <w:spacing w:line="360" w:lineRule="auto"/>
      </w:pPr>
    </w:p>
    <w:p w14:paraId="7D173F74">
      <w:pPr>
        <w:spacing w:line="360" w:lineRule="auto"/>
      </w:pPr>
    </w:p>
    <w:p w14:paraId="04A1FA46">
      <w:pPr>
        <w:spacing w:line="360" w:lineRule="auto"/>
      </w:pPr>
    </w:p>
    <w:p w14:paraId="4A087708">
      <w:pPr>
        <w:spacing w:line="360" w:lineRule="auto"/>
      </w:pPr>
    </w:p>
    <w:p w14:paraId="4DBDB96C">
      <w:pPr>
        <w:spacing w:line="360" w:lineRule="auto"/>
      </w:pPr>
    </w:p>
    <w:p w14:paraId="609E6BD9">
      <w:pPr>
        <w:spacing w:line="360" w:lineRule="auto"/>
      </w:pPr>
      <w:r>
        <w:rPr>
          <w:rFonts w:hint="eastAsia"/>
        </w:rPr>
        <w:t>3.1.3企业每月采集上传指标</w:t>
      </w:r>
    </w:p>
    <w:tbl>
      <w:tblPr>
        <w:tblStyle w:val="49"/>
        <w:tblW w:w="8520" w:type="dxa"/>
        <w:tblInd w:w="95" w:type="dxa"/>
        <w:tblLayout w:type="fixed"/>
        <w:tblCellMar>
          <w:top w:w="0" w:type="dxa"/>
          <w:left w:w="108" w:type="dxa"/>
          <w:bottom w:w="0" w:type="dxa"/>
          <w:right w:w="108" w:type="dxa"/>
        </w:tblCellMar>
      </w:tblPr>
      <w:tblGrid>
        <w:gridCol w:w="1520"/>
        <w:gridCol w:w="1220"/>
        <w:gridCol w:w="2440"/>
        <w:gridCol w:w="1420"/>
        <w:gridCol w:w="1920"/>
      </w:tblGrid>
      <w:tr w14:paraId="608E97C5">
        <w:tblPrEx>
          <w:tblCellMar>
            <w:top w:w="0" w:type="dxa"/>
            <w:left w:w="108" w:type="dxa"/>
            <w:bottom w:w="0" w:type="dxa"/>
            <w:right w:w="108" w:type="dxa"/>
          </w:tblCellMar>
        </w:tblPrEx>
        <w:trPr>
          <w:trHeight w:val="346" w:hRule="atLeast"/>
        </w:trPr>
        <w:tc>
          <w:tcPr>
            <w:tcW w:w="8520" w:type="dxa"/>
            <w:gridSpan w:val="5"/>
            <w:tcBorders>
              <w:top w:val="single" w:color="auto" w:sz="8" w:space="0"/>
              <w:left w:val="single" w:color="auto" w:sz="8" w:space="0"/>
              <w:bottom w:val="single" w:color="auto" w:sz="4" w:space="0"/>
              <w:right w:val="single" w:color="000000" w:sz="8" w:space="0"/>
            </w:tcBorders>
            <w:vAlign w:val="center"/>
          </w:tcPr>
          <w:p w14:paraId="389C55A6">
            <w:pPr>
              <w:widowControl/>
              <w:jc w:val="center"/>
              <w:rPr>
                <w:rFonts w:hint="eastAsia"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电力生产/热力生产和供应企业每月采集上传的能源总量指标</w:t>
            </w:r>
          </w:p>
        </w:tc>
      </w:tr>
      <w:tr w14:paraId="6B6177E8">
        <w:tblPrEx>
          <w:tblCellMar>
            <w:top w:w="0" w:type="dxa"/>
            <w:left w:w="108" w:type="dxa"/>
            <w:bottom w:w="0" w:type="dxa"/>
            <w:right w:w="108" w:type="dxa"/>
          </w:tblCellMar>
        </w:tblPrEx>
        <w:trPr>
          <w:trHeight w:val="346" w:hRule="atLeast"/>
        </w:trPr>
        <w:tc>
          <w:tcPr>
            <w:tcW w:w="1520" w:type="dxa"/>
            <w:tcBorders>
              <w:top w:val="single" w:color="auto" w:sz="4" w:space="0"/>
              <w:left w:val="single" w:color="auto" w:sz="8" w:space="0"/>
              <w:bottom w:val="single" w:color="auto" w:sz="4" w:space="0"/>
              <w:right w:val="single" w:color="auto" w:sz="4" w:space="0"/>
            </w:tcBorders>
            <w:vAlign w:val="center"/>
          </w:tcPr>
          <w:p w14:paraId="596151EF">
            <w:pPr>
              <w:widowControl/>
              <w:jc w:val="center"/>
              <w:rPr>
                <w:rFonts w:hint="eastAsia"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指标分类</w:t>
            </w:r>
          </w:p>
        </w:tc>
        <w:tc>
          <w:tcPr>
            <w:tcW w:w="1220" w:type="dxa"/>
            <w:tcBorders>
              <w:top w:val="nil"/>
              <w:left w:val="nil"/>
              <w:bottom w:val="single" w:color="auto" w:sz="4" w:space="0"/>
              <w:right w:val="single" w:color="auto" w:sz="4" w:space="0"/>
            </w:tcBorders>
            <w:vAlign w:val="center"/>
          </w:tcPr>
          <w:p w14:paraId="059110D9">
            <w:pPr>
              <w:widowControl/>
              <w:jc w:val="center"/>
              <w:rPr>
                <w:rFonts w:hint="eastAsia"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序号</w:t>
            </w:r>
          </w:p>
        </w:tc>
        <w:tc>
          <w:tcPr>
            <w:tcW w:w="2440" w:type="dxa"/>
            <w:tcBorders>
              <w:top w:val="nil"/>
              <w:left w:val="nil"/>
              <w:bottom w:val="single" w:color="auto" w:sz="4" w:space="0"/>
              <w:right w:val="single" w:color="auto" w:sz="4" w:space="0"/>
            </w:tcBorders>
            <w:vAlign w:val="center"/>
          </w:tcPr>
          <w:p w14:paraId="29401233">
            <w:pPr>
              <w:widowControl/>
              <w:jc w:val="center"/>
              <w:rPr>
                <w:rFonts w:hint="eastAsia"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能源品种/数据指标</w:t>
            </w:r>
          </w:p>
        </w:tc>
        <w:tc>
          <w:tcPr>
            <w:tcW w:w="1420" w:type="dxa"/>
            <w:tcBorders>
              <w:top w:val="nil"/>
              <w:left w:val="nil"/>
              <w:bottom w:val="single" w:color="auto" w:sz="4" w:space="0"/>
              <w:right w:val="single" w:color="auto" w:sz="4" w:space="0"/>
            </w:tcBorders>
            <w:vAlign w:val="center"/>
          </w:tcPr>
          <w:p w14:paraId="1A06FF4D">
            <w:pPr>
              <w:widowControl/>
              <w:jc w:val="center"/>
              <w:rPr>
                <w:rFonts w:hint="eastAsia"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上传单位</w:t>
            </w:r>
          </w:p>
        </w:tc>
        <w:tc>
          <w:tcPr>
            <w:tcW w:w="1920" w:type="dxa"/>
            <w:tcBorders>
              <w:top w:val="nil"/>
              <w:left w:val="nil"/>
              <w:bottom w:val="single" w:color="auto" w:sz="4" w:space="0"/>
              <w:right w:val="single" w:color="auto" w:sz="8" w:space="0"/>
            </w:tcBorders>
            <w:vAlign w:val="center"/>
          </w:tcPr>
          <w:p w14:paraId="197CFF79">
            <w:pPr>
              <w:widowControl/>
              <w:jc w:val="center"/>
              <w:rPr>
                <w:rFonts w:hint="eastAsia"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备注</w:t>
            </w:r>
          </w:p>
        </w:tc>
      </w:tr>
      <w:tr w14:paraId="08EF7153">
        <w:tblPrEx>
          <w:tblCellMar>
            <w:top w:w="0" w:type="dxa"/>
            <w:left w:w="108" w:type="dxa"/>
            <w:bottom w:w="0" w:type="dxa"/>
            <w:right w:w="108" w:type="dxa"/>
          </w:tblCellMar>
        </w:tblPrEx>
        <w:trPr>
          <w:trHeight w:val="346" w:hRule="atLeast"/>
        </w:trPr>
        <w:tc>
          <w:tcPr>
            <w:tcW w:w="1520" w:type="dxa"/>
            <w:vMerge w:val="restart"/>
            <w:tcBorders>
              <w:top w:val="single" w:color="auto" w:sz="4" w:space="0"/>
              <w:left w:val="single" w:color="auto" w:sz="8" w:space="0"/>
              <w:bottom w:val="single" w:color="auto" w:sz="4" w:space="0"/>
              <w:right w:val="single" w:color="auto" w:sz="4" w:space="0"/>
            </w:tcBorders>
            <w:vAlign w:val="center"/>
          </w:tcPr>
          <w:p w14:paraId="1541ECE7">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购进量</w:t>
            </w:r>
          </w:p>
        </w:tc>
        <w:tc>
          <w:tcPr>
            <w:tcW w:w="1220" w:type="dxa"/>
            <w:tcBorders>
              <w:top w:val="nil"/>
              <w:left w:val="nil"/>
              <w:bottom w:val="single" w:color="auto" w:sz="4" w:space="0"/>
              <w:right w:val="single" w:color="auto" w:sz="4" w:space="0"/>
            </w:tcBorders>
            <w:vAlign w:val="center"/>
          </w:tcPr>
          <w:p w14:paraId="1D2A29DE">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2440" w:type="dxa"/>
            <w:tcBorders>
              <w:top w:val="nil"/>
              <w:left w:val="nil"/>
              <w:bottom w:val="single" w:color="auto" w:sz="4" w:space="0"/>
              <w:right w:val="single" w:color="auto" w:sz="4" w:space="0"/>
            </w:tcBorders>
            <w:vAlign w:val="center"/>
          </w:tcPr>
          <w:p w14:paraId="7594FC37">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一般烟煤</w:t>
            </w:r>
          </w:p>
        </w:tc>
        <w:tc>
          <w:tcPr>
            <w:tcW w:w="1420" w:type="dxa"/>
            <w:tcBorders>
              <w:top w:val="nil"/>
              <w:left w:val="nil"/>
              <w:bottom w:val="single" w:color="auto" w:sz="4" w:space="0"/>
              <w:right w:val="single" w:color="auto" w:sz="4" w:space="0"/>
            </w:tcBorders>
            <w:vAlign w:val="center"/>
          </w:tcPr>
          <w:p w14:paraId="6F9CD0A0">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吨</w:t>
            </w:r>
          </w:p>
        </w:tc>
        <w:tc>
          <w:tcPr>
            <w:tcW w:w="1920" w:type="dxa"/>
            <w:tcBorders>
              <w:top w:val="nil"/>
              <w:left w:val="nil"/>
              <w:bottom w:val="single" w:color="auto" w:sz="4" w:space="0"/>
              <w:right w:val="single" w:color="auto" w:sz="8" w:space="0"/>
            </w:tcBorders>
            <w:vAlign w:val="center"/>
          </w:tcPr>
          <w:p w14:paraId="6DFC73B2">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全厂</w:t>
            </w:r>
          </w:p>
        </w:tc>
      </w:tr>
      <w:tr w14:paraId="235A3653">
        <w:tblPrEx>
          <w:tblCellMar>
            <w:top w:w="0" w:type="dxa"/>
            <w:left w:w="108" w:type="dxa"/>
            <w:bottom w:w="0" w:type="dxa"/>
            <w:right w:w="108" w:type="dxa"/>
          </w:tblCellMar>
        </w:tblPrEx>
        <w:trPr>
          <w:trHeight w:val="346" w:hRule="atLeast"/>
        </w:trPr>
        <w:tc>
          <w:tcPr>
            <w:tcW w:w="1520" w:type="dxa"/>
            <w:vMerge w:val="continue"/>
            <w:tcBorders>
              <w:top w:val="single" w:color="auto" w:sz="4" w:space="0"/>
              <w:left w:val="single" w:color="auto" w:sz="8" w:space="0"/>
              <w:bottom w:val="single" w:color="auto" w:sz="4" w:space="0"/>
              <w:right w:val="single" w:color="auto" w:sz="4" w:space="0"/>
            </w:tcBorders>
            <w:vAlign w:val="center"/>
          </w:tcPr>
          <w:p w14:paraId="64DB21CA">
            <w:pPr>
              <w:widowControl/>
              <w:jc w:val="left"/>
              <w:rPr>
                <w:rFonts w:hint="eastAsia" w:cs="宋体" w:asciiTheme="minorEastAsia" w:hAnsiTheme="minorEastAsia" w:eastAsiaTheme="minorEastAsia"/>
                <w:color w:val="000000"/>
                <w:kern w:val="0"/>
                <w:sz w:val="18"/>
                <w:szCs w:val="18"/>
              </w:rPr>
            </w:pPr>
          </w:p>
        </w:tc>
        <w:tc>
          <w:tcPr>
            <w:tcW w:w="1220" w:type="dxa"/>
            <w:tcBorders>
              <w:top w:val="nil"/>
              <w:left w:val="nil"/>
              <w:bottom w:val="single" w:color="auto" w:sz="4" w:space="0"/>
              <w:right w:val="single" w:color="auto" w:sz="4" w:space="0"/>
            </w:tcBorders>
            <w:vAlign w:val="center"/>
          </w:tcPr>
          <w:p w14:paraId="45AC3BC4">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w:t>
            </w:r>
          </w:p>
        </w:tc>
        <w:tc>
          <w:tcPr>
            <w:tcW w:w="2440" w:type="dxa"/>
            <w:tcBorders>
              <w:top w:val="nil"/>
              <w:left w:val="nil"/>
              <w:bottom w:val="single" w:color="auto" w:sz="4" w:space="0"/>
              <w:right w:val="single" w:color="auto" w:sz="4" w:space="0"/>
            </w:tcBorders>
            <w:vAlign w:val="center"/>
          </w:tcPr>
          <w:p w14:paraId="7B7DB1EE">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燃料油</w:t>
            </w:r>
          </w:p>
        </w:tc>
        <w:tc>
          <w:tcPr>
            <w:tcW w:w="1420" w:type="dxa"/>
            <w:tcBorders>
              <w:top w:val="nil"/>
              <w:left w:val="nil"/>
              <w:bottom w:val="single" w:color="auto" w:sz="4" w:space="0"/>
              <w:right w:val="single" w:color="auto" w:sz="4" w:space="0"/>
            </w:tcBorders>
            <w:vAlign w:val="center"/>
          </w:tcPr>
          <w:p w14:paraId="201FEE99">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吨</w:t>
            </w:r>
          </w:p>
        </w:tc>
        <w:tc>
          <w:tcPr>
            <w:tcW w:w="1920" w:type="dxa"/>
            <w:tcBorders>
              <w:top w:val="nil"/>
              <w:left w:val="nil"/>
              <w:bottom w:val="single" w:color="auto" w:sz="4" w:space="0"/>
              <w:right w:val="single" w:color="auto" w:sz="8" w:space="0"/>
            </w:tcBorders>
            <w:vAlign w:val="center"/>
          </w:tcPr>
          <w:p w14:paraId="0411363B">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全厂</w:t>
            </w:r>
          </w:p>
        </w:tc>
      </w:tr>
      <w:tr w14:paraId="5D6DB2A5">
        <w:tblPrEx>
          <w:tblCellMar>
            <w:top w:w="0" w:type="dxa"/>
            <w:left w:w="108" w:type="dxa"/>
            <w:bottom w:w="0" w:type="dxa"/>
            <w:right w:w="108" w:type="dxa"/>
          </w:tblCellMar>
        </w:tblPrEx>
        <w:trPr>
          <w:trHeight w:val="346" w:hRule="atLeast"/>
        </w:trPr>
        <w:tc>
          <w:tcPr>
            <w:tcW w:w="1520" w:type="dxa"/>
            <w:vMerge w:val="continue"/>
            <w:tcBorders>
              <w:top w:val="single" w:color="auto" w:sz="4" w:space="0"/>
              <w:left w:val="single" w:color="auto" w:sz="8" w:space="0"/>
              <w:bottom w:val="single" w:color="auto" w:sz="4" w:space="0"/>
              <w:right w:val="single" w:color="auto" w:sz="4" w:space="0"/>
            </w:tcBorders>
            <w:vAlign w:val="center"/>
          </w:tcPr>
          <w:p w14:paraId="56E2CD2A">
            <w:pPr>
              <w:widowControl/>
              <w:jc w:val="left"/>
              <w:rPr>
                <w:rFonts w:hint="eastAsia" w:cs="宋体" w:asciiTheme="minorEastAsia" w:hAnsiTheme="minorEastAsia" w:eastAsiaTheme="minorEastAsia"/>
                <w:color w:val="000000"/>
                <w:kern w:val="0"/>
                <w:sz w:val="18"/>
                <w:szCs w:val="18"/>
              </w:rPr>
            </w:pPr>
          </w:p>
        </w:tc>
        <w:tc>
          <w:tcPr>
            <w:tcW w:w="1220" w:type="dxa"/>
            <w:tcBorders>
              <w:top w:val="nil"/>
              <w:left w:val="nil"/>
              <w:bottom w:val="single" w:color="auto" w:sz="4" w:space="0"/>
              <w:right w:val="single" w:color="auto" w:sz="4" w:space="0"/>
            </w:tcBorders>
            <w:vAlign w:val="center"/>
          </w:tcPr>
          <w:p w14:paraId="55E5BB3E">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w:t>
            </w:r>
          </w:p>
        </w:tc>
        <w:tc>
          <w:tcPr>
            <w:tcW w:w="2440" w:type="dxa"/>
            <w:tcBorders>
              <w:top w:val="nil"/>
              <w:left w:val="nil"/>
              <w:bottom w:val="single" w:color="auto" w:sz="4" w:space="0"/>
              <w:right w:val="single" w:color="auto" w:sz="4" w:space="0"/>
            </w:tcBorders>
            <w:vAlign w:val="center"/>
          </w:tcPr>
          <w:p w14:paraId="694D2472">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电力</w:t>
            </w:r>
          </w:p>
        </w:tc>
        <w:tc>
          <w:tcPr>
            <w:tcW w:w="1420" w:type="dxa"/>
            <w:tcBorders>
              <w:top w:val="nil"/>
              <w:left w:val="nil"/>
              <w:bottom w:val="single" w:color="auto" w:sz="4" w:space="0"/>
              <w:right w:val="single" w:color="auto" w:sz="4" w:space="0"/>
            </w:tcBorders>
            <w:vAlign w:val="center"/>
          </w:tcPr>
          <w:p w14:paraId="4F7C0AF8">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千瓦时</w:t>
            </w:r>
          </w:p>
        </w:tc>
        <w:tc>
          <w:tcPr>
            <w:tcW w:w="1920" w:type="dxa"/>
            <w:tcBorders>
              <w:top w:val="nil"/>
              <w:left w:val="nil"/>
              <w:bottom w:val="single" w:color="auto" w:sz="4" w:space="0"/>
              <w:right w:val="single" w:color="auto" w:sz="8" w:space="0"/>
            </w:tcBorders>
            <w:vAlign w:val="center"/>
          </w:tcPr>
          <w:p w14:paraId="64BDB8F6">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全厂</w:t>
            </w:r>
          </w:p>
        </w:tc>
      </w:tr>
      <w:tr w14:paraId="5BC11D7A">
        <w:tblPrEx>
          <w:tblCellMar>
            <w:top w:w="0" w:type="dxa"/>
            <w:left w:w="108" w:type="dxa"/>
            <w:bottom w:w="0" w:type="dxa"/>
            <w:right w:w="108" w:type="dxa"/>
          </w:tblCellMar>
        </w:tblPrEx>
        <w:trPr>
          <w:trHeight w:val="346" w:hRule="atLeast"/>
        </w:trPr>
        <w:tc>
          <w:tcPr>
            <w:tcW w:w="1520" w:type="dxa"/>
            <w:tcBorders>
              <w:top w:val="single" w:color="auto" w:sz="4" w:space="0"/>
              <w:left w:val="single" w:color="auto" w:sz="8" w:space="0"/>
              <w:bottom w:val="single" w:color="auto" w:sz="4" w:space="0"/>
              <w:right w:val="single" w:color="auto" w:sz="4" w:space="0"/>
            </w:tcBorders>
            <w:vAlign w:val="center"/>
          </w:tcPr>
          <w:p w14:paraId="546B58C1">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外供量</w:t>
            </w:r>
          </w:p>
        </w:tc>
        <w:tc>
          <w:tcPr>
            <w:tcW w:w="1220" w:type="dxa"/>
            <w:tcBorders>
              <w:top w:val="nil"/>
              <w:left w:val="nil"/>
              <w:bottom w:val="single" w:color="auto" w:sz="4" w:space="0"/>
              <w:right w:val="single" w:color="auto" w:sz="4" w:space="0"/>
            </w:tcBorders>
            <w:vAlign w:val="center"/>
          </w:tcPr>
          <w:p w14:paraId="3538C4C6">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2440" w:type="dxa"/>
            <w:tcBorders>
              <w:top w:val="nil"/>
              <w:left w:val="nil"/>
              <w:bottom w:val="single" w:color="auto" w:sz="4" w:space="0"/>
              <w:right w:val="single" w:color="auto" w:sz="4" w:space="0"/>
            </w:tcBorders>
            <w:vAlign w:val="center"/>
          </w:tcPr>
          <w:p w14:paraId="5DE19F8B">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电力</w:t>
            </w:r>
          </w:p>
        </w:tc>
        <w:tc>
          <w:tcPr>
            <w:tcW w:w="1420" w:type="dxa"/>
            <w:tcBorders>
              <w:top w:val="nil"/>
              <w:left w:val="nil"/>
              <w:bottom w:val="single" w:color="auto" w:sz="4" w:space="0"/>
              <w:right w:val="single" w:color="auto" w:sz="4" w:space="0"/>
            </w:tcBorders>
            <w:vAlign w:val="center"/>
          </w:tcPr>
          <w:p w14:paraId="33B27981">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千瓦时</w:t>
            </w:r>
          </w:p>
        </w:tc>
        <w:tc>
          <w:tcPr>
            <w:tcW w:w="1920" w:type="dxa"/>
            <w:tcBorders>
              <w:top w:val="nil"/>
              <w:left w:val="nil"/>
              <w:bottom w:val="single" w:color="auto" w:sz="4" w:space="0"/>
              <w:right w:val="single" w:color="auto" w:sz="8" w:space="0"/>
            </w:tcBorders>
            <w:vAlign w:val="center"/>
          </w:tcPr>
          <w:p w14:paraId="60EC13D1">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全厂</w:t>
            </w:r>
          </w:p>
        </w:tc>
      </w:tr>
      <w:tr w14:paraId="315E3337">
        <w:tblPrEx>
          <w:tblCellMar>
            <w:top w:w="0" w:type="dxa"/>
            <w:left w:w="108" w:type="dxa"/>
            <w:bottom w:w="0" w:type="dxa"/>
            <w:right w:w="108" w:type="dxa"/>
          </w:tblCellMar>
        </w:tblPrEx>
        <w:trPr>
          <w:trHeight w:val="346" w:hRule="atLeast"/>
        </w:trPr>
        <w:tc>
          <w:tcPr>
            <w:tcW w:w="1520" w:type="dxa"/>
            <w:vMerge w:val="restart"/>
            <w:tcBorders>
              <w:top w:val="single" w:color="auto" w:sz="4" w:space="0"/>
              <w:left w:val="single" w:color="auto" w:sz="8" w:space="0"/>
              <w:bottom w:val="single" w:color="auto" w:sz="4" w:space="0"/>
              <w:right w:val="single" w:color="auto" w:sz="4" w:space="0"/>
            </w:tcBorders>
            <w:vAlign w:val="center"/>
          </w:tcPr>
          <w:p w14:paraId="1A94C862">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期初库存量</w:t>
            </w:r>
          </w:p>
        </w:tc>
        <w:tc>
          <w:tcPr>
            <w:tcW w:w="1220" w:type="dxa"/>
            <w:tcBorders>
              <w:top w:val="nil"/>
              <w:left w:val="nil"/>
              <w:bottom w:val="single" w:color="auto" w:sz="4" w:space="0"/>
              <w:right w:val="single" w:color="auto" w:sz="4" w:space="0"/>
            </w:tcBorders>
            <w:vAlign w:val="center"/>
          </w:tcPr>
          <w:p w14:paraId="58D82321">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2440" w:type="dxa"/>
            <w:tcBorders>
              <w:top w:val="nil"/>
              <w:left w:val="nil"/>
              <w:bottom w:val="single" w:color="auto" w:sz="4" w:space="0"/>
              <w:right w:val="single" w:color="auto" w:sz="4" w:space="0"/>
            </w:tcBorders>
            <w:vAlign w:val="center"/>
          </w:tcPr>
          <w:p w14:paraId="76C8866C">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一般烟煤</w:t>
            </w:r>
          </w:p>
        </w:tc>
        <w:tc>
          <w:tcPr>
            <w:tcW w:w="1420" w:type="dxa"/>
            <w:tcBorders>
              <w:top w:val="nil"/>
              <w:left w:val="nil"/>
              <w:bottom w:val="single" w:color="auto" w:sz="4" w:space="0"/>
              <w:right w:val="single" w:color="auto" w:sz="4" w:space="0"/>
            </w:tcBorders>
            <w:vAlign w:val="center"/>
          </w:tcPr>
          <w:p w14:paraId="05D9CA7C">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吨</w:t>
            </w:r>
          </w:p>
        </w:tc>
        <w:tc>
          <w:tcPr>
            <w:tcW w:w="1920" w:type="dxa"/>
            <w:tcBorders>
              <w:top w:val="nil"/>
              <w:left w:val="nil"/>
              <w:bottom w:val="single" w:color="auto" w:sz="4" w:space="0"/>
              <w:right w:val="single" w:color="auto" w:sz="8" w:space="0"/>
            </w:tcBorders>
            <w:vAlign w:val="center"/>
          </w:tcPr>
          <w:p w14:paraId="0F39A43B">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全厂</w:t>
            </w:r>
          </w:p>
        </w:tc>
      </w:tr>
      <w:tr w14:paraId="6B6C30E5">
        <w:tblPrEx>
          <w:tblCellMar>
            <w:top w:w="0" w:type="dxa"/>
            <w:left w:w="108" w:type="dxa"/>
            <w:bottom w:w="0" w:type="dxa"/>
            <w:right w:w="108" w:type="dxa"/>
          </w:tblCellMar>
        </w:tblPrEx>
        <w:trPr>
          <w:trHeight w:val="346" w:hRule="atLeast"/>
        </w:trPr>
        <w:tc>
          <w:tcPr>
            <w:tcW w:w="1520" w:type="dxa"/>
            <w:vMerge w:val="continue"/>
            <w:tcBorders>
              <w:top w:val="single" w:color="auto" w:sz="4" w:space="0"/>
              <w:left w:val="single" w:color="auto" w:sz="8" w:space="0"/>
              <w:bottom w:val="single" w:color="auto" w:sz="4" w:space="0"/>
              <w:right w:val="single" w:color="auto" w:sz="4" w:space="0"/>
            </w:tcBorders>
            <w:vAlign w:val="center"/>
          </w:tcPr>
          <w:p w14:paraId="05DF9F46">
            <w:pPr>
              <w:widowControl/>
              <w:jc w:val="left"/>
              <w:rPr>
                <w:rFonts w:hint="eastAsia" w:cs="宋体" w:asciiTheme="minorEastAsia" w:hAnsiTheme="minorEastAsia" w:eastAsiaTheme="minorEastAsia"/>
                <w:color w:val="000000"/>
                <w:kern w:val="0"/>
                <w:sz w:val="18"/>
                <w:szCs w:val="18"/>
              </w:rPr>
            </w:pPr>
          </w:p>
        </w:tc>
        <w:tc>
          <w:tcPr>
            <w:tcW w:w="1220" w:type="dxa"/>
            <w:tcBorders>
              <w:top w:val="nil"/>
              <w:left w:val="nil"/>
              <w:bottom w:val="single" w:color="auto" w:sz="4" w:space="0"/>
              <w:right w:val="single" w:color="auto" w:sz="4" w:space="0"/>
            </w:tcBorders>
            <w:vAlign w:val="center"/>
          </w:tcPr>
          <w:p w14:paraId="6EEDEF2F">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w:t>
            </w:r>
          </w:p>
        </w:tc>
        <w:tc>
          <w:tcPr>
            <w:tcW w:w="2440" w:type="dxa"/>
            <w:tcBorders>
              <w:top w:val="nil"/>
              <w:left w:val="nil"/>
              <w:bottom w:val="single" w:color="auto" w:sz="4" w:space="0"/>
              <w:right w:val="single" w:color="auto" w:sz="4" w:space="0"/>
            </w:tcBorders>
            <w:vAlign w:val="center"/>
          </w:tcPr>
          <w:p w14:paraId="38FDC51A">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燃料油</w:t>
            </w:r>
          </w:p>
        </w:tc>
        <w:tc>
          <w:tcPr>
            <w:tcW w:w="1420" w:type="dxa"/>
            <w:tcBorders>
              <w:top w:val="nil"/>
              <w:left w:val="nil"/>
              <w:bottom w:val="single" w:color="auto" w:sz="4" w:space="0"/>
              <w:right w:val="single" w:color="auto" w:sz="4" w:space="0"/>
            </w:tcBorders>
            <w:vAlign w:val="center"/>
          </w:tcPr>
          <w:p w14:paraId="7A7F46FD">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吨</w:t>
            </w:r>
          </w:p>
        </w:tc>
        <w:tc>
          <w:tcPr>
            <w:tcW w:w="1920" w:type="dxa"/>
            <w:tcBorders>
              <w:top w:val="nil"/>
              <w:left w:val="nil"/>
              <w:bottom w:val="single" w:color="auto" w:sz="4" w:space="0"/>
              <w:right w:val="single" w:color="auto" w:sz="8" w:space="0"/>
            </w:tcBorders>
            <w:vAlign w:val="center"/>
          </w:tcPr>
          <w:p w14:paraId="7FD36239">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全厂</w:t>
            </w:r>
          </w:p>
        </w:tc>
      </w:tr>
      <w:tr w14:paraId="1C6C25FE">
        <w:tblPrEx>
          <w:tblCellMar>
            <w:top w:w="0" w:type="dxa"/>
            <w:left w:w="108" w:type="dxa"/>
            <w:bottom w:w="0" w:type="dxa"/>
            <w:right w:w="108" w:type="dxa"/>
          </w:tblCellMar>
        </w:tblPrEx>
        <w:trPr>
          <w:trHeight w:val="346" w:hRule="atLeast"/>
        </w:trPr>
        <w:tc>
          <w:tcPr>
            <w:tcW w:w="1520" w:type="dxa"/>
            <w:vMerge w:val="restart"/>
            <w:tcBorders>
              <w:top w:val="single" w:color="auto" w:sz="4" w:space="0"/>
              <w:left w:val="single" w:color="auto" w:sz="8" w:space="0"/>
              <w:bottom w:val="single" w:color="auto" w:sz="4" w:space="0"/>
              <w:right w:val="single" w:color="auto" w:sz="4" w:space="0"/>
            </w:tcBorders>
            <w:vAlign w:val="center"/>
          </w:tcPr>
          <w:p w14:paraId="309CBBB3">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期末库存量</w:t>
            </w:r>
          </w:p>
        </w:tc>
        <w:tc>
          <w:tcPr>
            <w:tcW w:w="1220" w:type="dxa"/>
            <w:tcBorders>
              <w:top w:val="nil"/>
              <w:left w:val="nil"/>
              <w:bottom w:val="single" w:color="auto" w:sz="4" w:space="0"/>
              <w:right w:val="single" w:color="auto" w:sz="4" w:space="0"/>
            </w:tcBorders>
            <w:vAlign w:val="center"/>
          </w:tcPr>
          <w:p w14:paraId="07D99B45">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2440" w:type="dxa"/>
            <w:tcBorders>
              <w:top w:val="nil"/>
              <w:left w:val="nil"/>
              <w:bottom w:val="single" w:color="auto" w:sz="4" w:space="0"/>
              <w:right w:val="single" w:color="auto" w:sz="4" w:space="0"/>
            </w:tcBorders>
            <w:vAlign w:val="center"/>
          </w:tcPr>
          <w:p w14:paraId="4226665B">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一般烟煤</w:t>
            </w:r>
          </w:p>
        </w:tc>
        <w:tc>
          <w:tcPr>
            <w:tcW w:w="1420" w:type="dxa"/>
            <w:tcBorders>
              <w:top w:val="nil"/>
              <w:left w:val="nil"/>
              <w:bottom w:val="single" w:color="auto" w:sz="4" w:space="0"/>
              <w:right w:val="single" w:color="auto" w:sz="4" w:space="0"/>
            </w:tcBorders>
            <w:vAlign w:val="center"/>
          </w:tcPr>
          <w:p w14:paraId="5631850D">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吨</w:t>
            </w:r>
          </w:p>
        </w:tc>
        <w:tc>
          <w:tcPr>
            <w:tcW w:w="1920" w:type="dxa"/>
            <w:tcBorders>
              <w:top w:val="nil"/>
              <w:left w:val="nil"/>
              <w:bottom w:val="single" w:color="auto" w:sz="4" w:space="0"/>
              <w:right w:val="single" w:color="auto" w:sz="8" w:space="0"/>
            </w:tcBorders>
            <w:vAlign w:val="center"/>
          </w:tcPr>
          <w:p w14:paraId="44CA3550">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全厂</w:t>
            </w:r>
          </w:p>
        </w:tc>
      </w:tr>
      <w:tr w14:paraId="2B597B0C">
        <w:tblPrEx>
          <w:tblCellMar>
            <w:top w:w="0" w:type="dxa"/>
            <w:left w:w="108" w:type="dxa"/>
            <w:bottom w:w="0" w:type="dxa"/>
            <w:right w:w="108" w:type="dxa"/>
          </w:tblCellMar>
        </w:tblPrEx>
        <w:trPr>
          <w:trHeight w:val="346" w:hRule="atLeast"/>
        </w:trPr>
        <w:tc>
          <w:tcPr>
            <w:tcW w:w="1520" w:type="dxa"/>
            <w:vMerge w:val="continue"/>
            <w:tcBorders>
              <w:top w:val="single" w:color="auto" w:sz="4" w:space="0"/>
              <w:left w:val="single" w:color="auto" w:sz="8" w:space="0"/>
              <w:bottom w:val="single" w:color="auto" w:sz="4" w:space="0"/>
              <w:right w:val="single" w:color="auto" w:sz="4" w:space="0"/>
            </w:tcBorders>
            <w:vAlign w:val="center"/>
          </w:tcPr>
          <w:p w14:paraId="7BFA3246">
            <w:pPr>
              <w:widowControl/>
              <w:jc w:val="left"/>
              <w:rPr>
                <w:rFonts w:hint="eastAsia" w:cs="宋体" w:asciiTheme="minorEastAsia" w:hAnsiTheme="minorEastAsia" w:eastAsiaTheme="minorEastAsia"/>
                <w:color w:val="000000"/>
                <w:kern w:val="0"/>
                <w:sz w:val="18"/>
                <w:szCs w:val="18"/>
              </w:rPr>
            </w:pPr>
          </w:p>
        </w:tc>
        <w:tc>
          <w:tcPr>
            <w:tcW w:w="1220" w:type="dxa"/>
            <w:tcBorders>
              <w:top w:val="nil"/>
              <w:left w:val="nil"/>
              <w:bottom w:val="single" w:color="auto" w:sz="4" w:space="0"/>
              <w:right w:val="single" w:color="auto" w:sz="4" w:space="0"/>
            </w:tcBorders>
            <w:vAlign w:val="center"/>
          </w:tcPr>
          <w:p w14:paraId="48679FB0">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w:t>
            </w:r>
          </w:p>
        </w:tc>
        <w:tc>
          <w:tcPr>
            <w:tcW w:w="2440" w:type="dxa"/>
            <w:tcBorders>
              <w:top w:val="nil"/>
              <w:left w:val="nil"/>
              <w:bottom w:val="single" w:color="auto" w:sz="4" w:space="0"/>
              <w:right w:val="single" w:color="auto" w:sz="4" w:space="0"/>
            </w:tcBorders>
            <w:vAlign w:val="center"/>
          </w:tcPr>
          <w:p w14:paraId="4A66114E">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燃料油</w:t>
            </w:r>
          </w:p>
        </w:tc>
        <w:tc>
          <w:tcPr>
            <w:tcW w:w="1420" w:type="dxa"/>
            <w:tcBorders>
              <w:top w:val="nil"/>
              <w:left w:val="nil"/>
              <w:bottom w:val="single" w:color="auto" w:sz="4" w:space="0"/>
              <w:right w:val="single" w:color="auto" w:sz="4" w:space="0"/>
            </w:tcBorders>
            <w:vAlign w:val="center"/>
          </w:tcPr>
          <w:p w14:paraId="48B2CC88">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吨</w:t>
            </w:r>
          </w:p>
        </w:tc>
        <w:tc>
          <w:tcPr>
            <w:tcW w:w="1920" w:type="dxa"/>
            <w:tcBorders>
              <w:top w:val="nil"/>
              <w:left w:val="nil"/>
              <w:bottom w:val="single" w:color="auto" w:sz="4" w:space="0"/>
              <w:right w:val="single" w:color="auto" w:sz="8" w:space="0"/>
            </w:tcBorders>
            <w:vAlign w:val="center"/>
          </w:tcPr>
          <w:p w14:paraId="0E5D462A">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全厂</w:t>
            </w:r>
          </w:p>
        </w:tc>
      </w:tr>
      <w:tr w14:paraId="20580DDF">
        <w:tblPrEx>
          <w:tblCellMar>
            <w:top w:w="0" w:type="dxa"/>
            <w:left w:w="108" w:type="dxa"/>
            <w:bottom w:w="0" w:type="dxa"/>
            <w:right w:w="108" w:type="dxa"/>
          </w:tblCellMar>
        </w:tblPrEx>
        <w:trPr>
          <w:trHeight w:val="570" w:hRule="atLeast"/>
        </w:trPr>
        <w:tc>
          <w:tcPr>
            <w:tcW w:w="1520" w:type="dxa"/>
            <w:tcBorders>
              <w:top w:val="single" w:color="auto" w:sz="4" w:space="0"/>
              <w:left w:val="single" w:color="auto" w:sz="8" w:space="0"/>
              <w:bottom w:val="single" w:color="auto" w:sz="4" w:space="0"/>
              <w:right w:val="single" w:color="auto" w:sz="4" w:space="0"/>
            </w:tcBorders>
            <w:vAlign w:val="center"/>
          </w:tcPr>
          <w:p w14:paraId="22D24145">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综合能源消费量</w:t>
            </w:r>
          </w:p>
        </w:tc>
        <w:tc>
          <w:tcPr>
            <w:tcW w:w="1220" w:type="dxa"/>
            <w:tcBorders>
              <w:top w:val="nil"/>
              <w:left w:val="nil"/>
              <w:bottom w:val="single" w:color="auto" w:sz="4" w:space="0"/>
              <w:right w:val="single" w:color="auto" w:sz="4" w:space="0"/>
            </w:tcBorders>
            <w:vAlign w:val="center"/>
          </w:tcPr>
          <w:p w14:paraId="771EB999">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2440" w:type="dxa"/>
            <w:tcBorders>
              <w:top w:val="nil"/>
              <w:left w:val="nil"/>
              <w:bottom w:val="single" w:color="auto" w:sz="4" w:space="0"/>
              <w:right w:val="single" w:color="auto" w:sz="4" w:space="0"/>
            </w:tcBorders>
            <w:vAlign w:val="center"/>
          </w:tcPr>
          <w:p w14:paraId="70C311FF">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综合能源消费量</w:t>
            </w:r>
          </w:p>
        </w:tc>
        <w:tc>
          <w:tcPr>
            <w:tcW w:w="1420" w:type="dxa"/>
            <w:tcBorders>
              <w:top w:val="nil"/>
              <w:left w:val="nil"/>
              <w:bottom w:val="single" w:color="auto" w:sz="4" w:space="0"/>
              <w:right w:val="single" w:color="auto" w:sz="4" w:space="0"/>
            </w:tcBorders>
            <w:vAlign w:val="center"/>
          </w:tcPr>
          <w:p w14:paraId="069667BD">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吨标准煤</w:t>
            </w:r>
          </w:p>
        </w:tc>
        <w:tc>
          <w:tcPr>
            <w:tcW w:w="1920" w:type="dxa"/>
            <w:tcBorders>
              <w:top w:val="nil"/>
              <w:left w:val="nil"/>
              <w:bottom w:val="single" w:color="auto" w:sz="4" w:space="0"/>
              <w:right w:val="single" w:color="auto" w:sz="8" w:space="0"/>
            </w:tcBorders>
            <w:vAlign w:val="center"/>
          </w:tcPr>
          <w:p w14:paraId="53167A2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按照统计方法核算的企业综合能源消费量</w:t>
            </w:r>
          </w:p>
        </w:tc>
      </w:tr>
      <w:tr w14:paraId="61D0BB17">
        <w:tblPrEx>
          <w:tblCellMar>
            <w:top w:w="0" w:type="dxa"/>
            <w:left w:w="108" w:type="dxa"/>
            <w:bottom w:w="0" w:type="dxa"/>
            <w:right w:w="108" w:type="dxa"/>
          </w:tblCellMar>
        </w:tblPrEx>
        <w:trPr>
          <w:trHeight w:val="382" w:hRule="atLeast"/>
        </w:trPr>
        <w:tc>
          <w:tcPr>
            <w:tcW w:w="1520" w:type="dxa"/>
            <w:vMerge w:val="restart"/>
            <w:tcBorders>
              <w:top w:val="single" w:color="auto" w:sz="4" w:space="0"/>
              <w:left w:val="single" w:color="auto" w:sz="8" w:space="0"/>
              <w:bottom w:val="single" w:color="000000" w:sz="8" w:space="0"/>
              <w:right w:val="single" w:color="auto" w:sz="4" w:space="0"/>
            </w:tcBorders>
            <w:vAlign w:val="center"/>
          </w:tcPr>
          <w:p w14:paraId="6D18DB3B">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经济指标</w:t>
            </w:r>
          </w:p>
        </w:tc>
        <w:tc>
          <w:tcPr>
            <w:tcW w:w="1220" w:type="dxa"/>
            <w:tcBorders>
              <w:top w:val="nil"/>
              <w:left w:val="nil"/>
              <w:bottom w:val="single" w:color="auto" w:sz="4" w:space="0"/>
              <w:right w:val="single" w:color="auto" w:sz="4" w:space="0"/>
            </w:tcBorders>
            <w:vAlign w:val="center"/>
          </w:tcPr>
          <w:p w14:paraId="6D9F619D">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2440" w:type="dxa"/>
            <w:tcBorders>
              <w:top w:val="nil"/>
              <w:left w:val="nil"/>
              <w:bottom w:val="single" w:color="auto" w:sz="4" w:space="0"/>
              <w:right w:val="single" w:color="auto" w:sz="4" w:space="0"/>
            </w:tcBorders>
            <w:vAlign w:val="center"/>
          </w:tcPr>
          <w:p w14:paraId="1670B58E">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工业总产值</w:t>
            </w:r>
          </w:p>
        </w:tc>
        <w:tc>
          <w:tcPr>
            <w:tcW w:w="1420" w:type="dxa"/>
            <w:tcBorders>
              <w:top w:val="nil"/>
              <w:left w:val="nil"/>
              <w:bottom w:val="single" w:color="auto" w:sz="4" w:space="0"/>
              <w:right w:val="single" w:color="auto" w:sz="4" w:space="0"/>
            </w:tcBorders>
            <w:vAlign w:val="center"/>
          </w:tcPr>
          <w:p w14:paraId="7CF1C340">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万元</w:t>
            </w:r>
          </w:p>
        </w:tc>
        <w:tc>
          <w:tcPr>
            <w:tcW w:w="1920" w:type="dxa"/>
            <w:tcBorders>
              <w:top w:val="nil"/>
              <w:left w:val="nil"/>
              <w:bottom w:val="single" w:color="auto" w:sz="4" w:space="0"/>
              <w:right w:val="single" w:color="auto" w:sz="8" w:space="0"/>
            </w:tcBorders>
            <w:vAlign w:val="center"/>
          </w:tcPr>
          <w:p w14:paraId="61DC7711">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手工填报</w:t>
            </w:r>
          </w:p>
        </w:tc>
      </w:tr>
      <w:tr w14:paraId="634F3789">
        <w:tblPrEx>
          <w:tblCellMar>
            <w:top w:w="0" w:type="dxa"/>
            <w:left w:w="108" w:type="dxa"/>
            <w:bottom w:w="0" w:type="dxa"/>
            <w:right w:w="108" w:type="dxa"/>
          </w:tblCellMar>
        </w:tblPrEx>
        <w:trPr>
          <w:trHeight w:val="382" w:hRule="atLeast"/>
        </w:trPr>
        <w:tc>
          <w:tcPr>
            <w:tcW w:w="1520" w:type="dxa"/>
            <w:vMerge w:val="continue"/>
            <w:tcBorders>
              <w:top w:val="single" w:color="auto" w:sz="4" w:space="0"/>
              <w:left w:val="single" w:color="auto" w:sz="8" w:space="0"/>
              <w:bottom w:val="single" w:color="000000" w:sz="8" w:space="0"/>
              <w:right w:val="single" w:color="auto" w:sz="4" w:space="0"/>
            </w:tcBorders>
            <w:vAlign w:val="center"/>
          </w:tcPr>
          <w:p w14:paraId="1FA63B1F">
            <w:pPr>
              <w:widowControl/>
              <w:jc w:val="left"/>
              <w:rPr>
                <w:rFonts w:hint="eastAsia" w:cs="宋体" w:asciiTheme="minorEastAsia" w:hAnsiTheme="minorEastAsia" w:eastAsiaTheme="minorEastAsia"/>
                <w:color w:val="000000"/>
                <w:kern w:val="0"/>
                <w:sz w:val="18"/>
                <w:szCs w:val="18"/>
              </w:rPr>
            </w:pPr>
          </w:p>
        </w:tc>
        <w:tc>
          <w:tcPr>
            <w:tcW w:w="1220" w:type="dxa"/>
            <w:tcBorders>
              <w:top w:val="nil"/>
              <w:left w:val="nil"/>
              <w:bottom w:val="single" w:color="auto" w:sz="8" w:space="0"/>
              <w:right w:val="single" w:color="auto" w:sz="4" w:space="0"/>
            </w:tcBorders>
            <w:vAlign w:val="center"/>
          </w:tcPr>
          <w:p w14:paraId="4736DEF7">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w:t>
            </w:r>
          </w:p>
        </w:tc>
        <w:tc>
          <w:tcPr>
            <w:tcW w:w="2440" w:type="dxa"/>
            <w:tcBorders>
              <w:top w:val="nil"/>
              <w:left w:val="nil"/>
              <w:bottom w:val="single" w:color="auto" w:sz="8" w:space="0"/>
              <w:right w:val="single" w:color="auto" w:sz="4" w:space="0"/>
            </w:tcBorders>
            <w:vAlign w:val="center"/>
          </w:tcPr>
          <w:p w14:paraId="1F14873E">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工业增加值</w:t>
            </w:r>
          </w:p>
        </w:tc>
        <w:tc>
          <w:tcPr>
            <w:tcW w:w="1420" w:type="dxa"/>
            <w:tcBorders>
              <w:top w:val="nil"/>
              <w:left w:val="nil"/>
              <w:bottom w:val="single" w:color="auto" w:sz="8" w:space="0"/>
              <w:right w:val="single" w:color="auto" w:sz="4" w:space="0"/>
            </w:tcBorders>
            <w:vAlign w:val="center"/>
          </w:tcPr>
          <w:p w14:paraId="7195235F">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万元</w:t>
            </w:r>
          </w:p>
        </w:tc>
        <w:tc>
          <w:tcPr>
            <w:tcW w:w="1920" w:type="dxa"/>
            <w:tcBorders>
              <w:top w:val="nil"/>
              <w:left w:val="nil"/>
              <w:bottom w:val="single" w:color="auto" w:sz="8" w:space="0"/>
              <w:right w:val="single" w:color="auto" w:sz="8" w:space="0"/>
            </w:tcBorders>
            <w:vAlign w:val="center"/>
          </w:tcPr>
          <w:p w14:paraId="017AE927">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手工填报</w:t>
            </w:r>
          </w:p>
        </w:tc>
      </w:tr>
    </w:tbl>
    <w:p w14:paraId="71126FB7">
      <w:pPr>
        <w:spacing w:line="360" w:lineRule="auto"/>
      </w:pPr>
      <w:bookmarkStart w:id="9" w:name="_Toc18274"/>
      <w:r>
        <w:rPr>
          <w:rFonts w:hint="eastAsia"/>
        </w:rPr>
        <w:t>3.3、端设备情况</w:t>
      </w:r>
      <w:bookmarkEnd w:id="9"/>
    </w:p>
    <w:p w14:paraId="6B54A8D4">
      <w:pPr>
        <w:spacing w:line="360" w:lineRule="auto"/>
      </w:pPr>
      <w:r>
        <w:rPr>
          <w:rFonts w:hint="eastAsia"/>
        </w:rPr>
        <w:t>3.3.1 端设备</w:t>
      </w:r>
    </w:p>
    <w:p w14:paraId="29DDB5D8">
      <w:pPr>
        <w:spacing w:line="360" w:lineRule="auto"/>
        <w:ind w:firstLine="420" w:firstLineChars="200"/>
      </w:pPr>
      <w:r>
        <w:rPr>
          <w:rFonts w:hint="eastAsia"/>
        </w:rPr>
        <w:t>采用的端设备应符合NHJC-04-2018《端设备接口协议规范》，NHJC-08-2018《系统安全规范》以及相关等级保护、安全防护等规范要求，同时应具有ISCCC中国国家信息安全产品认证证书及计算机系统安全专用产品销售许可证。</w:t>
      </w:r>
    </w:p>
    <w:p w14:paraId="3995D771">
      <w:pPr>
        <w:spacing w:line="360" w:lineRule="auto"/>
        <w:ind w:firstLine="420" w:firstLineChars="200"/>
      </w:pPr>
      <w:r>
        <w:rPr>
          <w:rFonts w:hint="eastAsia"/>
        </w:rPr>
        <w:t>根据上述要求，洛阳万基宏远电力有限公司重点能耗在线监测数据上传项目拟使用T@Energy-AIO 工业安全隔离网闸作为端设备，该设备使用独立双主机“2+1”（外部处理单元、内部处理单元、隔离安全数据交换单元）架构，适用于重点耗能单位、大型工业企业、安全生产监管单位等领域的能管中心系统对数据采集、加密上传、本地存储、断点续传和网络隔离等功能需求。其详细配置和性能指标如下表所示：</w:t>
      </w:r>
    </w:p>
    <w:p w14:paraId="4476D7D4">
      <w:pPr>
        <w:spacing w:line="360" w:lineRule="auto"/>
        <w:ind w:firstLine="1050" w:firstLineChars="500"/>
      </w:pPr>
      <w:r>
        <w:rPr>
          <w:rFonts w:hint="eastAsia"/>
        </w:rPr>
        <w:t>表5、端设备配置一览表</w:t>
      </w:r>
    </w:p>
    <w:tbl>
      <w:tblPr>
        <w:tblStyle w:val="49"/>
        <w:tblW w:w="8875"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837"/>
        <w:gridCol w:w="876"/>
        <w:gridCol w:w="1882"/>
        <w:gridCol w:w="5280"/>
      </w:tblGrid>
      <w:tr w14:paraId="4F732B0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837"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14:paraId="1E42A853">
            <w:pPr>
              <w:keepNext w:val="0"/>
              <w:keepLines w:val="0"/>
              <w:pageBreakBefore w:val="0"/>
              <w:widowControl w:val="0"/>
              <w:kinsoku/>
              <w:wordWrap/>
              <w:overflowPunct/>
              <w:topLinePunct w:val="0"/>
              <w:autoSpaceDE/>
              <w:autoSpaceDN/>
              <w:bidi w:val="0"/>
              <w:adjustRightInd/>
              <w:snapToGrid/>
              <w:spacing w:line="240" w:lineRule="exact"/>
              <w:jc w:val="center"/>
              <w:textAlignment w:val="auto"/>
            </w:pPr>
            <w:r>
              <w:rPr>
                <w:rFonts w:hint="eastAsia"/>
              </w:rPr>
              <w:t>外网主机</w:t>
            </w:r>
          </w:p>
        </w:tc>
        <w:tc>
          <w:tcPr>
            <w:tcW w:w="876"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14:paraId="7E40367D">
            <w:pPr>
              <w:keepNext w:val="0"/>
              <w:keepLines w:val="0"/>
              <w:pageBreakBefore w:val="0"/>
              <w:widowControl w:val="0"/>
              <w:kinsoku/>
              <w:wordWrap/>
              <w:overflowPunct/>
              <w:topLinePunct w:val="0"/>
              <w:autoSpaceDE/>
              <w:autoSpaceDN/>
              <w:bidi w:val="0"/>
              <w:adjustRightInd/>
              <w:snapToGrid/>
              <w:spacing w:line="240" w:lineRule="exact"/>
              <w:textAlignment w:val="auto"/>
            </w:pPr>
            <w:r>
              <w:rPr>
                <w:rFonts w:hint="eastAsia"/>
              </w:rPr>
              <w:t>技术规格</w:t>
            </w:r>
          </w:p>
        </w:tc>
        <w:tc>
          <w:tcPr>
            <w:tcW w:w="1882" w:type="dxa"/>
            <w:tcBorders>
              <w:top w:val="single" w:color="auto" w:sz="8" w:space="0"/>
              <w:left w:val="single" w:color="auto" w:sz="8" w:space="0"/>
              <w:bottom w:val="single" w:color="auto" w:sz="8" w:space="0"/>
              <w:right w:val="single" w:color="auto" w:sz="8" w:space="0"/>
            </w:tcBorders>
            <w:shd w:val="clear" w:color="auto" w:fill="FFFFFF"/>
            <w:vAlign w:val="center"/>
          </w:tcPr>
          <w:p w14:paraId="00775E69">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r>
              <w:rPr>
                <w:rFonts w:hint="eastAsia"/>
              </w:rPr>
              <w:t>处理器</w:t>
            </w:r>
          </w:p>
        </w:tc>
        <w:tc>
          <w:tcPr>
            <w:tcW w:w="5280" w:type="dxa"/>
            <w:tcBorders>
              <w:top w:val="single" w:color="auto" w:sz="8" w:space="0"/>
              <w:left w:val="single" w:color="auto" w:sz="8" w:space="0"/>
              <w:bottom w:val="single" w:color="auto" w:sz="8" w:space="0"/>
              <w:right w:val="single" w:color="auto" w:sz="8" w:space="0"/>
            </w:tcBorders>
            <w:shd w:val="clear" w:color="auto" w:fill="FFFFFF"/>
            <w:vAlign w:val="center"/>
          </w:tcPr>
          <w:p w14:paraId="7E6DA580">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r>
              <w:t>10</w:t>
            </w:r>
            <w:r>
              <w:rPr>
                <w:rFonts w:hint="eastAsia"/>
              </w:rPr>
              <w:t>代</w:t>
            </w:r>
            <w:r>
              <w:t>Intel </w:t>
            </w:r>
            <w:r>
              <w:rPr>
                <w:rFonts w:hint="eastAsia"/>
              </w:rPr>
              <w:t>低功耗四核处理器</w:t>
            </w:r>
          </w:p>
        </w:tc>
      </w:tr>
      <w:tr w14:paraId="67A6643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837"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10462614">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p>
        </w:tc>
        <w:tc>
          <w:tcPr>
            <w:tcW w:w="876"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6E2F76C6">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p>
        </w:tc>
        <w:tc>
          <w:tcPr>
            <w:tcW w:w="1882" w:type="dxa"/>
            <w:tcBorders>
              <w:top w:val="single" w:color="auto" w:sz="8" w:space="0"/>
              <w:left w:val="single" w:color="auto" w:sz="8" w:space="0"/>
              <w:bottom w:val="single" w:color="auto" w:sz="8" w:space="0"/>
              <w:right w:val="single" w:color="auto" w:sz="8" w:space="0"/>
            </w:tcBorders>
            <w:shd w:val="clear" w:color="auto" w:fill="FFFFFF"/>
            <w:vAlign w:val="center"/>
          </w:tcPr>
          <w:p w14:paraId="2DEC7BE6">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r>
              <w:rPr>
                <w:rFonts w:hint="eastAsia"/>
              </w:rPr>
              <w:t>CPU</w:t>
            </w:r>
          </w:p>
        </w:tc>
        <w:tc>
          <w:tcPr>
            <w:tcW w:w="5280" w:type="dxa"/>
            <w:tcBorders>
              <w:top w:val="single" w:color="auto" w:sz="8" w:space="0"/>
              <w:left w:val="single" w:color="auto" w:sz="8" w:space="0"/>
              <w:bottom w:val="single" w:color="auto" w:sz="8" w:space="0"/>
              <w:right w:val="single" w:color="auto" w:sz="8" w:space="0"/>
            </w:tcBorders>
            <w:shd w:val="clear" w:color="auto" w:fill="FFFFFF"/>
            <w:vAlign w:val="center"/>
          </w:tcPr>
          <w:p w14:paraId="6459E4AB">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r>
              <w:rPr>
                <w:rFonts w:hint="eastAsia"/>
              </w:rPr>
              <w:t>8G Hz</w:t>
            </w:r>
          </w:p>
        </w:tc>
      </w:tr>
      <w:tr w14:paraId="41F73CB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c>
          <w:tcPr>
            <w:tcW w:w="837"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755F61A0">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p>
        </w:tc>
        <w:tc>
          <w:tcPr>
            <w:tcW w:w="876"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67313A8C">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p>
        </w:tc>
        <w:tc>
          <w:tcPr>
            <w:tcW w:w="1882" w:type="dxa"/>
            <w:tcBorders>
              <w:top w:val="single" w:color="auto" w:sz="8" w:space="0"/>
              <w:left w:val="single" w:color="auto" w:sz="8" w:space="0"/>
              <w:bottom w:val="single" w:color="auto" w:sz="8" w:space="0"/>
              <w:right w:val="single" w:color="auto" w:sz="8" w:space="0"/>
            </w:tcBorders>
            <w:shd w:val="clear" w:color="auto" w:fill="FFFFFF"/>
            <w:vAlign w:val="center"/>
          </w:tcPr>
          <w:p w14:paraId="669FFDC6">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r>
              <w:rPr>
                <w:rFonts w:hint="eastAsia"/>
              </w:rPr>
              <w:t>内存</w:t>
            </w:r>
          </w:p>
        </w:tc>
        <w:tc>
          <w:tcPr>
            <w:tcW w:w="5280" w:type="dxa"/>
            <w:tcBorders>
              <w:top w:val="single" w:color="auto" w:sz="8" w:space="0"/>
              <w:left w:val="single" w:color="auto" w:sz="8" w:space="0"/>
              <w:bottom w:val="single" w:color="auto" w:sz="8" w:space="0"/>
              <w:right w:val="single" w:color="auto" w:sz="8" w:space="0"/>
            </w:tcBorders>
            <w:shd w:val="clear" w:color="auto" w:fill="FFFFFF"/>
            <w:vAlign w:val="center"/>
          </w:tcPr>
          <w:p w14:paraId="22D78ADE">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r>
              <w:rPr>
                <w:rFonts w:hint="eastAsia"/>
                <w:lang w:val="en-US" w:eastAsia="zh-CN"/>
              </w:rPr>
              <w:t>32</w:t>
            </w:r>
            <w:r>
              <w:rPr>
                <w:rFonts w:hint="eastAsia"/>
              </w:rPr>
              <w:t>G DDR3</w:t>
            </w:r>
          </w:p>
        </w:tc>
      </w:tr>
      <w:tr w14:paraId="709B636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837"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44E2138C">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p>
        </w:tc>
        <w:tc>
          <w:tcPr>
            <w:tcW w:w="876"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3014C97D">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p>
        </w:tc>
        <w:tc>
          <w:tcPr>
            <w:tcW w:w="1882" w:type="dxa"/>
            <w:tcBorders>
              <w:top w:val="single" w:color="auto" w:sz="8" w:space="0"/>
              <w:left w:val="single" w:color="auto" w:sz="8" w:space="0"/>
              <w:bottom w:val="single" w:color="auto" w:sz="8" w:space="0"/>
              <w:right w:val="single" w:color="auto" w:sz="8" w:space="0"/>
            </w:tcBorders>
            <w:shd w:val="clear" w:color="auto" w:fill="FFFFFF"/>
            <w:vAlign w:val="center"/>
          </w:tcPr>
          <w:p w14:paraId="28827BE8">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r>
              <w:rPr>
                <w:rFonts w:hint="eastAsia"/>
              </w:rPr>
              <w:t>存储器</w:t>
            </w:r>
          </w:p>
        </w:tc>
        <w:tc>
          <w:tcPr>
            <w:tcW w:w="5280" w:type="dxa"/>
            <w:tcBorders>
              <w:top w:val="single" w:color="auto" w:sz="8" w:space="0"/>
              <w:left w:val="single" w:color="auto" w:sz="8" w:space="0"/>
              <w:bottom w:val="single" w:color="auto" w:sz="8" w:space="0"/>
              <w:right w:val="single" w:color="auto" w:sz="8" w:space="0"/>
            </w:tcBorders>
            <w:shd w:val="clear" w:color="auto" w:fill="FFFFFF"/>
            <w:vAlign w:val="center"/>
          </w:tcPr>
          <w:p w14:paraId="30D82F4D">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r>
              <w:rPr>
                <w:rFonts w:hint="eastAsia"/>
              </w:rPr>
              <w:t>2T固态硬盘（满足所有上传数据1年存储量）</w:t>
            </w:r>
          </w:p>
        </w:tc>
      </w:tr>
      <w:tr w14:paraId="1DC0530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837"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14415CBC">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p>
        </w:tc>
        <w:tc>
          <w:tcPr>
            <w:tcW w:w="876"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2A8F4495">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p>
        </w:tc>
        <w:tc>
          <w:tcPr>
            <w:tcW w:w="1882" w:type="dxa"/>
            <w:tcBorders>
              <w:top w:val="single" w:color="auto" w:sz="8" w:space="0"/>
              <w:left w:val="single" w:color="auto" w:sz="8" w:space="0"/>
              <w:bottom w:val="single" w:color="auto" w:sz="8" w:space="0"/>
              <w:right w:val="single" w:color="auto" w:sz="8" w:space="0"/>
            </w:tcBorders>
            <w:shd w:val="clear" w:color="auto" w:fill="FFFFFF"/>
            <w:vAlign w:val="center"/>
          </w:tcPr>
          <w:p w14:paraId="5546C904">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r>
              <w:rPr>
                <w:rFonts w:hint="eastAsia"/>
              </w:rPr>
              <w:t>以太网口</w:t>
            </w:r>
          </w:p>
        </w:tc>
        <w:tc>
          <w:tcPr>
            <w:tcW w:w="5280" w:type="dxa"/>
            <w:tcBorders>
              <w:top w:val="single" w:color="auto" w:sz="8" w:space="0"/>
              <w:left w:val="single" w:color="auto" w:sz="8" w:space="0"/>
              <w:bottom w:val="single" w:color="auto" w:sz="8" w:space="0"/>
              <w:right w:val="single" w:color="auto" w:sz="8" w:space="0"/>
            </w:tcBorders>
            <w:shd w:val="clear" w:color="auto" w:fill="FFFFFF"/>
            <w:vAlign w:val="center"/>
          </w:tcPr>
          <w:p w14:paraId="179A83D5">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r>
              <w:rPr>
                <w:rFonts w:hint="eastAsia"/>
              </w:rPr>
              <w:t>6* RJ45千兆以太网接口</w:t>
            </w:r>
          </w:p>
        </w:tc>
      </w:tr>
      <w:tr w14:paraId="25A5232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1" w:hRule="atLeast"/>
        </w:trPr>
        <w:tc>
          <w:tcPr>
            <w:tcW w:w="837"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763D11EB">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p>
        </w:tc>
        <w:tc>
          <w:tcPr>
            <w:tcW w:w="876"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1FE56C4B">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p>
        </w:tc>
        <w:tc>
          <w:tcPr>
            <w:tcW w:w="1882" w:type="dxa"/>
            <w:tcBorders>
              <w:top w:val="single" w:color="auto" w:sz="8" w:space="0"/>
              <w:left w:val="single" w:color="auto" w:sz="8" w:space="0"/>
              <w:bottom w:val="single" w:color="auto" w:sz="8" w:space="0"/>
              <w:right w:val="single" w:color="auto" w:sz="8" w:space="0"/>
            </w:tcBorders>
            <w:shd w:val="clear" w:color="auto" w:fill="FFFFFF"/>
            <w:vAlign w:val="center"/>
          </w:tcPr>
          <w:p w14:paraId="3F783FE7">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r>
              <w:rPr>
                <w:rFonts w:hint="eastAsia"/>
              </w:rPr>
              <w:t>无线通信</w:t>
            </w:r>
          </w:p>
        </w:tc>
        <w:tc>
          <w:tcPr>
            <w:tcW w:w="5280" w:type="dxa"/>
            <w:tcBorders>
              <w:top w:val="single" w:color="auto" w:sz="8" w:space="0"/>
              <w:left w:val="single" w:color="auto" w:sz="8" w:space="0"/>
              <w:bottom w:val="single" w:color="auto" w:sz="8" w:space="0"/>
              <w:right w:val="single" w:color="auto" w:sz="8" w:space="0"/>
            </w:tcBorders>
            <w:shd w:val="clear" w:color="auto" w:fill="FFFFFF"/>
            <w:vAlign w:val="center"/>
          </w:tcPr>
          <w:p w14:paraId="033865C7">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r>
              <w:rPr>
                <w:rFonts w:hint="eastAsia"/>
              </w:rPr>
              <w:t>可选4G无线通信模组</w:t>
            </w:r>
          </w:p>
        </w:tc>
      </w:tr>
      <w:tr w14:paraId="264A0A2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09" w:hRule="atLeast"/>
        </w:trPr>
        <w:tc>
          <w:tcPr>
            <w:tcW w:w="837"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4B41D720">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p>
        </w:tc>
        <w:tc>
          <w:tcPr>
            <w:tcW w:w="876"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37E6B633">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p>
        </w:tc>
        <w:tc>
          <w:tcPr>
            <w:tcW w:w="1882" w:type="dxa"/>
            <w:tcBorders>
              <w:top w:val="single" w:color="auto" w:sz="8" w:space="0"/>
              <w:left w:val="single" w:color="auto" w:sz="8" w:space="0"/>
              <w:bottom w:val="single" w:color="auto" w:sz="8" w:space="0"/>
              <w:right w:val="single" w:color="auto" w:sz="8" w:space="0"/>
            </w:tcBorders>
            <w:shd w:val="clear" w:color="auto" w:fill="FFFFFF"/>
            <w:vAlign w:val="center"/>
          </w:tcPr>
          <w:p w14:paraId="28E8989F">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r>
              <w:rPr>
                <w:rFonts w:hint="eastAsia"/>
              </w:rPr>
              <w:t>外设接口</w:t>
            </w:r>
          </w:p>
        </w:tc>
        <w:tc>
          <w:tcPr>
            <w:tcW w:w="5280" w:type="dxa"/>
            <w:tcBorders>
              <w:top w:val="single" w:color="auto" w:sz="8" w:space="0"/>
              <w:left w:val="single" w:color="auto" w:sz="8" w:space="0"/>
              <w:bottom w:val="single" w:color="auto" w:sz="8" w:space="0"/>
              <w:right w:val="single" w:color="auto" w:sz="8" w:space="0"/>
            </w:tcBorders>
            <w:shd w:val="clear" w:color="auto" w:fill="FFFFFF"/>
            <w:vAlign w:val="center"/>
          </w:tcPr>
          <w:p w14:paraId="7E33DA48">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r>
              <w:rPr>
                <w:rFonts w:hint="eastAsia"/>
              </w:rPr>
              <w:t>1个VGA接口、2个USB 3.0接口</w:t>
            </w:r>
          </w:p>
        </w:tc>
      </w:tr>
      <w:tr w14:paraId="198EE09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837"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01740F60">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p>
        </w:tc>
        <w:tc>
          <w:tcPr>
            <w:tcW w:w="876"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5C7E98DC">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p>
        </w:tc>
        <w:tc>
          <w:tcPr>
            <w:tcW w:w="1882" w:type="dxa"/>
            <w:tcBorders>
              <w:top w:val="single" w:color="auto" w:sz="8" w:space="0"/>
              <w:left w:val="single" w:color="auto" w:sz="8" w:space="0"/>
              <w:bottom w:val="single" w:color="auto" w:sz="8" w:space="0"/>
              <w:right w:val="single" w:color="auto" w:sz="8" w:space="0"/>
            </w:tcBorders>
            <w:shd w:val="clear" w:color="auto" w:fill="FFFFFF"/>
            <w:vAlign w:val="center"/>
          </w:tcPr>
          <w:p w14:paraId="7FBB1898">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r>
              <w:rPr>
                <w:rFonts w:hint="eastAsia"/>
              </w:rPr>
              <w:t>RTC时钟电路</w:t>
            </w:r>
          </w:p>
        </w:tc>
        <w:tc>
          <w:tcPr>
            <w:tcW w:w="5280" w:type="dxa"/>
            <w:tcBorders>
              <w:top w:val="single" w:color="auto" w:sz="8" w:space="0"/>
              <w:left w:val="single" w:color="auto" w:sz="8" w:space="0"/>
              <w:bottom w:val="single" w:color="auto" w:sz="8" w:space="0"/>
              <w:right w:val="single" w:color="auto" w:sz="8" w:space="0"/>
            </w:tcBorders>
            <w:shd w:val="clear" w:color="auto" w:fill="FFFFFF"/>
            <w:vAlign w:val="center"/>
          </w:tcPr>
          <w:p w14:paraId="47AB815E">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r>
              <w:rPr>
                <w:rFonts w:hint="eastAsia"/>
              </w:rPr>
              <w:t>内部电池供电保持时钟正确运行</w:t>
            </w:r>
          </w:p>
        </w:tc>
      </w:tr>
      <w:tr w14:paraId="0EB800B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84" w:hRule="atLeast"/>
        </w:trPr>
        <w:tc>
          <w:tcPr>
            <w:tcW w:w="837"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194BF5B4">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p>
        </w:tc>
        <w:tc>
          <w:tcPr>
            <w:tcW w:w="876"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121DA7E0">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p>
        </w:tc>
        <w:tc>
          <w:tcPr>
            <w:tcW w:w="1882" w:type="dxa"/>
            <w:tcBorders>
              <w:top w:val="single" w:color="auto" w:sz="8" w:space="0"/>
              <w:left w:val="single" w:color="auto" w:sz="8" w:space="0"/>
              <w:bottom w:val="single" w:color="auto" w:sz="8" w:space="0"/>
              <w:right w:val="single" w:color="auto" w:sz="8" w:space="0"/>
            </w:tcBorders>
            <w:shd w:val="clear" w:color="auto" w:fill="FFFFFF"/>
            <w:vAlign w:val="center"/>
          </w:tcPr>
          <w:p w14:paraId="16BDF9AB">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r>
              <w:rPr>
                <w:rFonts w:hint="eastAsia"/>
              </w:rPr>
              <w:t>看门狗定时器</w:t>
            </w:r>
          </w:p>
        </w:tc>
        <w:tc>
          <w:tcPr>
            <w:tcW w:w="5280" w:type="dxa"/>
            <w:tcBorders>
              <w:top w:val="single" w:color="auto" w:sz="8" w:space="0"/>
              <w:left w:val="single" w:color="auto" w:sz="8" w:space="0"/>
              <w:bottom w:val="single" w:color="auto" w:sz="8" w:space="0"/>
              <w:right w:val="single" w:color="auto" w:sz="8" w:space="0"/>
            </w:tcBorders>
            <w:shd w:val="clear" w:color="auto" w:fill="FFFFFF"/>
            <w:vAlign w:val="center"/>
          </w:tcPr>
          <w:p w14:paraId="111FDEEE">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r>
              <w:rPr>
                <w:rFonts w:hint="eastAsia"/>
              </w:rPr>
              <w:t>有</w:t>
            </w:r>
          </w:p>
        </w:tc>
      </w:tr>
      <w:tr w14:paraId="148E9D3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837"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4400456C">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p>
        </w:tc>
        <w:tc>
          <w:tcPr>
            <w:tcW w:w="876"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14:paraId="59740B03">
            <w:pPr>
              <w:keepNext w:val="0"/>
              <w:keepLines w:val="0"/>
              <w:pageBreakBefore w:val="0"/>
              <w:widowControl w:val="0"/>
              <w:kinsoku/>
              <w:wordWrap/>
              <w:overflowPunct/>
              <w:topLinePunct w:val="0"/>
              <w:autoSpaceDE/>
              <w:autoSpaceDN/>
              <w:bidi w:val="0"/>
              <w:adjustRightInd/>
              <w:snapToGrid/>
              <w:spacing w:line="240" w:lineRule="exact"/>
              <w:textAlignment w:val="auto"/>
            </w:pPr>
            <w:r>
              <w:rPr>
                <w:rFonts w:hint="eastAsia"/>
              </w:rPr>
              <w:t>软件特征</w:t>
            </w:r>
          </w:p>
        </w:tc>
        <w:tc>
          <w:tcPr>
            <w:tcW w:w="1882" w:type="dxa"/>
            <w:tcBorders>
              <w:top w:val="single" w:color="auto" w:sz="8" w:space="0"/>
              <w:left w:val="single" w:color="auto" w:sz="8" w:space="0"/>
              <w:bottom w:val="single" w:color="auto" w:sz="8" w:space="0"/>
              <w:right w:val="single" w:color="auto" w:sz="8" w:space="0"/>
            </w:tcBorders>
            <w:shd w:val="clear" w:color="auto" w:fill="FFFFFF"/>
            <w:vAlign w:val="center"/>
          </w:tcPr>
          <w:p w14:paraId="53D75691">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r>
              <w:rPr>
                <w:rFonts w:hint="eastAsia"/>
              </w:rPr>
              <w:t>操作系统</w:t>
            </w:r>
          </w:p>
        </w:tc>
        <w:tc>
          <w:tcPr>
            <w:tcW w:w="5280" w:type="dxa"/>
            <w:tcBorders>
              <w:top w:val="single" w:color="auto" w:sz="8" w:space="0"/>
              <w:left w:val="single" w:color="auto" w:sz="8" w:space="0"/>
              <w:bottom w:val="single" w:color="auto" w:sz="8" w:space="0"/>
              <w:right w:val="single" w:color="auto" w:sz="8" w:space="0"/>
            </w:tcBorders>
            <w:shd w:val="clear" w:color="auto" w:fill="FFFFFF"/>
            <w:vAlign w:val="center"/>
          </w:tcPr>
          <w:p w14:paraId="0720E8C6">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r>
              <w:rPr>
                <w:rFonts w:hint="eastAsia"/>
                <w:color w:val="000000" w:themeColor="text1"/>
                <w14:textFill>
                  <w14:solidFill>
                    <w14:schemeClr w14:val="tx1"/>
                  </w14:solidFill>
                </w14:textFill>
              </w:rPr>
              <w:t>Windows10</w:t>
            </w:r>
          </w:p>
        </w:tc>
      </w:tr>
      <w:tr w14:paraId="62B9C50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24" w:hRule="atLeast"/>
        </w:trPr>
        <w:tc>
          <w:tcPr>
            <w:tcW w:w="837"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3E32240B">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p>
        </w:tc>
        <w:tc>
          <w:tcPr>
            <w:tcW w:w="876"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249D8467">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p>
        </w:tc>
        <w:tc>
          <w:tcPr>
            <w:tcW w:w="1882" w:type="dxa"/>
            <w:tcBorders>
              <w:top w:val="single" w:color="auto" w:sz="8" w:space="0"/>
              <w:left w:val="single" w:color="auto" w:sz="8" w:space="0"/>
              <w:bottom w:val="single" w:color="auto" w:sz="8" w:space="0"/>
              <w:right w:val="single" w:color="auto" w:sz="8" w:space="0"/>
            </w:tcBorders>
            <w:shd w:val="clear" w:color="auto" w:fill="FFFFFF"/>
            <w:vAlign w:val="center"/>
          </w:tcPr>
          <w:p w14:paraId="49ED250E">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r>
              <w:rPr>
                <w:rFonts w:hint="eastAsia"/>
              </w:rPr>
              <w:t>数据上传协议</w:t>
            </w:r>
          </w:p>
        </w:tc>
        <w:tc>
          <w:tcPr>
            <w:tcW w:w="5280" w:type="dxa"/>
            <w:tcBorders>
              <w:top w:val="single" w:color="auto" w:sz="8" w:space="0"/>
              <w:left w:val="single" w:color="auto" w:sz="8" w:space="0"/>
              <w:bottom w:val="single" w:color="auto" w:sz="8" w:space="0"/>
              <w:right w:val="single" w:color="auto" w:sz="8" w:space="0"/>
            </w:tcBorders>
            <w:shd w:val="clear" w:color="auto" w:fill="FFFFFF"/>
            <w:vAlign w:val="center"/>
          </w:tcPr>
          <w:p w14:paraId="29B3686C">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r>
              <w:rPr>
                <w:rFonts w:hint="eastAsia"/>
              </w:rPr>
              <w:t>支持IEC-104、Modbus TCP/IP标准协议</w:t>
            </w:r>
            <w:r>
              <w:rPr>
                <w:rFonts w:hint="eastAsia"/>
              </w:rPr>
              <w:br w:type="textWrapping"/>
            </w:r>
            <w:r>
              <w:rPr>
                <w:rFonts w:hint="eastAsia"/>
              </w:rPr>
              <w:t>支持IEEE-1888泛在绿色社区控制网络国际标准协议</w:t>
            </w:r>
            <w:r>
              <w:rPr>
                <w:rFonts w:hint="eastAsia"/>
              </w:rPr>
              <w:br w:type="textWrapping"/>
            </w:r>
            <w:r>
              <w:rPr>
                <w:rFonts w:hint="eastAsia"/>
              </w:rPr>
              <w:t>支持《NHJC-04重点用能单位能耗在线监测系统端设备接口协议规范》</w:t>
            </w:r>
          </w:p>
        </w:tc>
      </w:tr>
      <w:tr w14:paraId="1E8663A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837"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0BC7CC66">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p>
        </w:tc>
        <w:tc>
          <w:tcPr>
            <w:tcW w:w="876"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0AF92366">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p>
        </w:tc>
        <w:tc>
          <w:tcPr>
            <w:tcW w:w="1882" w:type="dxa"/>
            <w:tcBorders>
              <w:top w:val="single" w:color="auto" w:sz="8" w:space="0"/>
              <w:left w:val="single" w:color="auto" w:sz="8" w:space="0"/>
              <w:bottom w:val="single" w:color="auto" w:sz="8" w:space="0"/>
              <w:right w:val="single" w:color="auto" w:sz="8" w:space="0"/>
            </w:tcBorders>
            <w:shd w:val="clear" w:color="auto" w:fill="FFFFFF"/>
            <w:vAlign w:val="center"/>
          </w:tcPr>
          <w:p w14:paraId="12CFB854">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r>
              <w:rPr>
                <w:rFonts w:hint="eastAsia"/>
              </w:rPr>
              <w:t>数据上传周期</w:t>
            </w:r>
          </w:p>
        </w:tc>
        <w:tc>
          <w:tcPr>
            <w:tcW w:w="5280" w:type="dxa"/>
            <w:tcBorders>
              <w:top w:val="single" w:color="auto" w:sz="8" w:space="0"/>
              <w:left w:val="single" w:color="auto" w:sz="8" w:space="0"/>
              <w:bottom w:val="single" w:color="auto" w:sz="8" w:space="0"/>
              <w:right w:val="single" w:color="auto" w:sz="8" w:space="0"/>
            </w:tcBorders>
            <w:shd w:val="clear" w:color="auto" w:fill="FFFFFF"/>
            <w:vAlign w:val="center"/>
          </w:tcPr>
          <w:p w14:paraId="45DF31CD">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r>
              <w:rPr>
                <w:rFonts w:hint="eastAsia"/>
              </w:rPr>
              <w:t>5到60分钟可设定</w:t>
            </w:r>
          </w:p>
        </w:tc>
      </w:tr>
      <w:tr w14:paraId="4D4C1AB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837"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24AA0A3C">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p>
        </w:tc>
        <w:tc>
          <w:tcPr>
            <w:tcW w:w="876"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2A577059">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p>
        </w:tc>
        <w:tc>
          <w:tcPr>
            <w:tcW w:w="1882" w:type="dxa"/>
            <w:tcBorders>
              <w:top w:val="single" w:color="auto" w:sz="8" w:space="0"/>
              <w:left w:val="single" w:color="auto" w:sz="8" w:space="0"/>
              <w:bottom w:val="single" w:color="auto" w:sz="8" w:space="0"/>
              <w:right w:val="single" w:color="auto" w:sz="8" w:space="0"/>
            </w:tcBorders>
            <w:shd w:val="clear" w:color="auto" w:fill="FFFFFF"/>
            <w:vAlign w:val="center"/>
          </w:tcPr>
          <w:p w14:paraId="777DC3EC">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r>
              <w:rPr>
                <w:rFonts w:hint="eastAsia"/>
              </w:rPr>
              <w:t>数据库</w:t>
            </w:r>
          </w:p>
        </w:tc>
        <w:tc>
          <w:tcPr>
            <w:tcW w:w="5280" w:type="dxa"/>
            <w:tcBorders>
              <w:top w:val="single" w:color="auto" w:sz="8" w:space="0"/>
              <w:left w:val="single" w:color="auto" w:sz="8" w:space="0"/>
              <w:bottom w:val="single" w:color="auto" w:sz="8" w:space="0"/>
              <w:right w:val="single" w:color="auto" w:sz="8" w:space="0"/>
            </w:tcBorders>
            <w:shd w:val="clear" w:color="auto" w:fill="FFFFFF"/>
            <w:vAlign w:val="center"/>
          </w:tcPr>
          <w:p w14:paraId="2ED21A6A">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r>
              <w:rPr>
                <w:rFonts w:hint="eastAsia"/>
              </w:rPr>
              <w:t>MySQL</w:t>
            </w:r>
          </w:p>
        </w:tc>
      </w:tr>
      <w:tr w14:paraId="4E0829C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837"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7BA9BFE2">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p>
        </w:tc>
        <w:tc>
          <w:tcPr>
            <w:tcW w:w="876"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3A334666">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p>
        </w:tc>
        <w:tc>
          <w:tcPr>
            <w:tcW w:w="1882" w:type="dxa"/>
            <w:tcBorders>
              <w:top w:val="single" w:color="auto" w:sz="8" w:space="0"/>
              <w:left w:val="single" w:color="auto" w:sz="8" w:space="0"/>
              <w:bottom w:val="single" w:color="auto" w:sz="8" w:space="0"/>
              <w:right w:val="single" w:color="auto" w:sz="8" w:space="0"/>
            </w:tcBorders>
            <w:shd w:val="clear" w:color="auto" w:fill="FFFFFF"/>
            <w:vAlign w:val="center"/>
          </w:tcPr>
          <w:p w14:paraId="5C20964A">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r>
              <w:rPr>
                <w:rFonts w:hint="eastAsia"/>
              </w:rPr>
              <w:t>实时对时功能</w:t>
            </w:r>
          </w:p>
        </w:tc>
        <w:tc>
          <w:tcPr>
            <w:tcW w:w="5280" w:type="dxa"/>
            <w:tcBorders>
              <w:top w:val="single" w:color="auto" w:sz="8" w:space="0"/>
              <w:left w:val="single" w:color="auto" w:sz="8" w:space="0"/>
              <w:bottom w:val="single" w:color="auto" w:sz="8" w:space="0"/>
              <w:right w:val="single" w:color="auto" w:sz="8" w:space="0"/>
            </w:tcBorders>
            <w:shd w:val="clear" w:color="auto" w:fill="FFFFFF"/>
            <w:vAlign w:val="center"/>
          </w:tcPr>
          <w:p w14:paraId="6932698D">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r>
              <w:rPr>
                <w:rFonts w:hint="eastAsia"/>
              </w:rPr>
              <w:t>接收网络、北斗\GPS授时</w:t>
            </w:r>
          </w:p>
        </w:tc>
      </w:tr>
      <w:tr w14:paraId="313B5DA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831" w:hRule="atLeast"/>
        </w:trPr>
        <w:tc>
          <w:tcPr>
            <w:tcW w:w="837"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2A3886AC">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p>
        </w:tc>
        <w:tc>
          <w:tcPr>
            <w:tcW w:w="876"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55934F39">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p>
        </w:tc>
        <w:tc>
          <w:tcPr>
            <w:tcW w:w="1882" w:type="dxa"/>
            <w:tcBorders>
              <w:top w:val="single" w:color="auto" w:sz="8" w:space="0"/>
              <w:left w:val="single" w:color="auto" w:sz="8" w:space="0"/>
              <w:bottom w:val="single" w:color="auto" w:sz="8" w:space="0"/>
              <w:right w:val="single" w:color="auto" w:sz="8" w:space="0"/>
            </w:tcBorders>
            <w:shd w:val="clear" w:color="auto" w:fill="FFFFFF"/>
            <w:vAlign w:val="center"/>
          </w:tcPr>
          <w:p w14:paraId="0F531647">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r>
              <w:rPr>
                <w:rFonts w:hint="eastAsia"/>
              </w:rPr>
              <w:t>远程管理功能</w:t>
            </w:r>
          </w:p>
        </w:tc>
        <w:tc>
          <w:tcPr>
            <w:tcW w:w="5280" w:type="dxa"/>
            <w:tcBorders>
              <w:top w:val="single" w:color="auto" w:sz="8" w:space="0"/>
              <w:left w:val="single" w:color="auto" w:sz="8" w:space="0"/>
              <w:bottom w:val="single" w:color="auto" w:sz="8" w:space="0"/>
              <w:right w:val="single" w:color="auto" w:sz="8" w:space="0"/>
            </w:tcBorders>
            <w:shd w:val="clear" w:color="auto" w:fill="FFFFFF"/>
            <w:vAlign w:val="center"/>
          </w:tcPr>
          <w:p w14:paraId="018A49BC">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r>
              <w:rPr>
                <w:rFonts w:hint="eastAsia"/>
              </w:rPr>
              <w:t>局域网：专用配置工具软件远程管理、数据配置、通信诊断、日志查看等</w:t>
            </w:r>
            <w:r>
              <w:rPr>
                <w:rFonts w:hint="eastAsia"/>
              </w:rPr>
              <w:br w:type="textWrapping"/>
            </w:r>
            <w:r>
              <w:rPr>
                <w:rFonts w:hint="eastAsia"/>
              </w:rPr>
              <w:t>互联网：基于公有云服务器的WEB服务平台远程管理</w:t>
            </w:r>
          </w:p>
        </w:tc>
      </w:tr>
      <w:tr w14:paraId="7919B66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837"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4D84BDE3">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p>
        </w:tc>
        <w:tc>
          <w:tcPr>
            <w:tcW w:w="876"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78759A38">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p>
        </w:tc>
        <w:tc>
          <w:tcPr>
            <w:tcW w:w="1882" w:type="dxa"/>
            <w:tcBorders>
              <w:top w:val="single" w:color="auto" w:sz="8" w:space="0"/>
              <w:left w:val="single" w:color="auto" w:sz="8" w:space="0"/>
              <w:bottom w:val="single" w:color="auto" w:sz="8" w:space="0"/>
              <w:right w:val="single" w:color="auto" w:sz="8" w:space="0"/>
            </w:tcBorders>
            <w:shd w:val="clear" w:color="auto" w:fill="FFFFFF"/>
            <w:vAlign w:val="center"/>
          </w:tcPr>
          <w:p w14:paraId="52AA5C51">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r>
              <w:rPr>
                <w:rFonts w:hint="eastAsia"/>
              </w:rPr>
              <w:t>断点续传功能</w:t>
            </w:r>
          </w:p>
        </w:tc>
        <w:tc>
          <w:tcPr>
            <w:tcW w:w="5280" w:type="dxa"/>
            <w:tcBorders>
              <w:top w:val="single" w:color="auto" w:sz="8" w:space="0"/>
              <w:left w:val="single" w:color="auto" w:sz="8" w:space="0"/>
              <w:bottom w:val="single" w:color="auto" w:sz="8" w:space="0"/>
              <w:right w:val="single" w:color="auto" w:sz="8" w:space="0"/>
            </w:tcBorders>
            <w:shd w:val="clear" w:color="auto" w:fill="FFFFFF"/>
            <w:vAlign w:val="center"/>
          </w:tcPr>
          <w:p w14:paraId="6CA46092">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r>
              <w:rPr>
                <w:rFonts w:hint="eastAsia"/>
              </w:rPr>
              <w:t>自动检测网络状态，网络中断自动缓存数据并恢复时自动上传离线数据</w:t>
            </w:r>
          </w:p>
        </w:tc>
      </w:tr>
      <w:tr w14:paraId="08E37CF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c>
          <w:tcPr>
            <w:tcW w:w="837"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14:paraId="6A766C18">
            <w:pPr>
              <w:keepNext w:val="0"/>
              <w:keepLines w:val="0"/>
              <w:pageBreakBefore w:val="0"/>
              <w:widowControl w:val="0"/>
              <w:kinsoku/>
              <w:wordWrap/>
              <w:overflowPunct/>
              <w:topLinePunct w:val="0"/>
              <w:autoSpaceDE/>
              <w:autoSpaceDN/>
              <w:bidi w:val="0"/>
              <w:adjustRightInd/>
              <w:snapToGrid/>
              <w:spacing w:line="240" w:lineRule="exact"/>
              <w:jc w:val="center"/>
              <w:textAlignment w:val="auto"/>
            </w:pPr>
            <w:r>
              <w:rPr>
                <w:rFonts w:hint="eastAsia"/>
              </w:rPr>
              <w:t>内网主机</w:t>
            </w:r>
          </w:p>
        </w:tc>
        <w:tc>
          <w:tcPr>
            <w:tcW w:w="876"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14:paraId="5C1DD239">
            <w:pPr>
              <w:keepNext w:val="0"/>
              <w:keepLines w:val="0"/>
              <w:pageBreakBefore w:val="0"/>
              <w:widowControl w:val="0"/>
              <w:kinsoku/>
              <w:wordWrap/>
              <w:overflowPunct/>
              <w:topLinePunct w:val="0"/>
              <w:autoSpaceDE/>
              <w:autoSpaceDN/>
              <w:bidi w:val="0"/>
              <w:adjustRightInd/>
              <w:snapToGrid/>
              <w:spacing w:line="240" w:lineRule="exact"/>
              <w:textAlignment w:val="auto"/>
            </w:pPr>
            <w:r>
              <w:rPr>
                <w:rFonts w:hint="eastAsia"/>
              </w:rPr>
              <w:t>技术规格</w:t>
            </w:r>
          </w:p>
        </w:tc>
        <w:tc>
          <w:tcPr>
            <w:tcW w:w="1882" w:type="dxa"/>
            <w:tcBorders>
              <w:top w:val="single" w:color="auto" w:sz="8" w:space="0"/>
              <w:left w:val="single" w:color="auto" w:sz="8" w:space="0"/>
              <w:bottom w:val="single" w:color="auto" w:sz="8" w:space="0"/>
              <w:right w:val="single" w:color="auto" w:sz="8" w:space="0"/>
            </w:tcBorders>
            <w:shd w:val="clear" w:color="auto" w:fill="FFFFFF"/>
            <w:vAlign w:val="center"/>
          </w:tcPr>
          <w:p w14:paraId="7F16B80F">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r>
              <w:rPr>
                <w:rFonts w:hint="eastAsia"/>
              </w:rPr>
              <w:t>处理器</w:t>
            </w:r>
          </w:p>
        </w:tc>
        <w:tc>
          <w:tcPr>
            <w:tcW w:w="5280" w:type="dxa"/>
            <w:tcBorders>
              <w:top w:val="single" w:color="auto" w:sz="8" w:space="0"/>
              <w:left w:val="single" w:color="auto" w:sz="8" w:space="0"/>
              <w:bottom w:val="single" w:color="auto" w:sz="8" w:space="0"/>
              <w:right w:val="single" w:color="auto" w:sz="8" w:space="0"/>
            </w:tcBorders>
            <w:shd w:val="clear" w:color="auto" w:fill="FFFFFF"/>
            <w:vAlign w:val="center"/>
          </w:tcPr>
          <w:p w14:paraId="25A0121C">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bookmarkStart w:id="10" w:name="OLE_LINK1"/>
            <w:r>
              <w:rPr>
                <w:rFonts w:hint="eastAsia"/>
              </w:rPr>
              <w:t>10代Intel 低功耗四核处理器</w:t>
            </w:r>
            <w:bookmarkEnd w:id="10"/>
          </w:p>
        </w:tc>
      </w:tr>
      <w:tr w14:paraId="7DDC7EC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90" w:hRule="atLeast"/>
        </w:trPr>
        <w:tc>
          <w:tcPr>
            <w:tcW w:w="837"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1A3EADF6">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p>
        </w:tc>
        <w:tc>
          <w:tcPr>
            <w:tcW w:w="876"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71A464BF">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p>
        </w:tc>
        <w:tc>
          <w:tcPr>
            <w:tcW w:w="1882" w:type="dxa"/>
            <w:tcBorders>
              <w:top w:val="single" w:color="auto" w:sz="8" w:space="0"/>
              <w:left w:val="single" w:color="auto" w:sz="8" w:space="0"/>
              <w:bottom w:val="single" w:color="auto" w:sz="8" w:space="0"/>
              <w:right w:val="single" w:color="auto" w:sz="8" w:space="0"/>
            </w:tcBorders>
            <w:shd w:val="clear" w:color="auto" w:fill="FFFFFF"/>
            <w:vAlign w:val="center"/>
          </w:tcPr>
          <w:p w14:paraId="4AB9DDEF">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r>
              <w:rPr>
                <w:rFonts w:hint="eastAsia"/>
              </w:rPr>
              <w:t>CPU</w:t>
            </w:r>
          </w:p>
        </w:tc>
        <w:tc>
          <w:tcPr>
            <w:tcW w:w="5280" w:type="dxa"/>
            <w:tcBorders>
              <w:top w:val="single" w:color="auto" w:sz="8" w:space="0"/>
              <w:left w:val="single" w:color="auto" w:sz="8" w:space="0"/>
              <w:bottom w:val="single" w:color="auto" w:sz="8" w:space="0"/>
              <w:right w:val="single" w:color="auto" w:sz="8" w:space="0"/>
            </w:tcBorders>
            <w:shd w:val="clear" w:color="auto" w:fill="FFFFFF"/>
            <w:vAlign w:val="center"/>
          </w:tcPr>
          <w:p w14:paraId="5783FF0D">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r>
              <w:rPr>
                <w:rFonts w:hint="eastAsia"/>
              </w:rPr>
              <w:t>8G Hz</w:t>
            </w:r>
          </w:p>
        </w:tc>
      </w:tr>
      <w:tr w14:paraId="14A05B8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837"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0EF83EBC">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p>
        </w:tc>
        <w:tc>
          <w:tcPr>
            <w:tcW w:w="876"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648B6CD0">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p>
        </w:tc>
        <w:tc>
          <w:tcPr>
            <w:tcW w:w="1882" w:type="dxa"/>
            <w:tcBorders>
              <w:top w:val="single" w:color="auto" w:sz="8" w:space="0"/>
              <w:left w:val="single" w:color="auto" w:sz="8" w:space="0"/>
              <w:bottom w:val="single" w:color="auto" w:sz="8" w:space="0"/>
              <w:right w:val="single" w:color="auto" w:sz="8" w:space="0"/>
            </w:tcBorders>
            <w:shd w:val="clear" w:color="auto" w:fill="FFFFFF"/>
            <w:vAlign w:val="center"/>
          </w:tcPr>
          <w:p w14:paraId="53DA6272">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r>
              <w:rPr>
                <w:rFonts w:hint="eastAsia"/>
              </w:rPr>
              <w:t>内存</w:t>
            </w:r>
          </w:p>
        </w:tc>
        <w:tc>
          <w:tcPr>
            <w:tcW w:w="5280" w:type="dxa"/>
            <w:tcBorders>
              <w:top w:val="single" w:color="auto" w:sz="8" w:space="0"/>
              <w:left w:val="single" w:color="auto" w:sz="8" w:space="0"/>
              <w:bottom w:val="single" w:color="auto" w:sz="8" w:space="0"/>
              <w:right w:val="single" w:color="auto" w:sz="8" w:space="0"/>
            </w:tcBorders>
            <w:shd w:val="clear" w:color="auto" w:fill="FFFFFF"/>
            <w:vAlign w:val="center"/>
          </w:tcPr>
          <w:p w14:paraId="7BFF850E">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rPr>
            </w:pPr>
            <w:r>
              <w:rPr>
                <w:rFonts w:hint="eastAsia"/>
                <w:lang w:val="en-US" w:eastAsia="zh-CN"/>
              </w:rPr>
              <w:t>32</w:t>
            </w:r>
            <w:r>
              <w:rPr>
                <w:rFonts w:hint="eastAsia"/>
              </w:rPr>
              <w:t>G</w:t>
            </w:r>
          </w:p>
        </w:tc>
      </w:tr>
      <w:tr w14:paraId="22C8E5A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c>
          <w:tcPr>
            <w:tcW w:w="837"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66E4242E">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p>
        </w:tc>
        <w:tc>
          <w:tcPr>
            <w:tcW w:w="876"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594CE641">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p>
        </w:tc>
        <w:tc>
          <w:tcPr>
            <w:tcW w:w="1882" w:type="dxa"/>
            <w:tcBorders>
              <w:top w:val="single" w:color="auto" w:sz="8" w:space="0"/>
              <w:left w:val="single" w:color="auto" w:sz="8" w:space="0"/>
              <w:bottom w:val="single" w:color="auto" w:sz="8" w:space="0"/>
              <w:right w:val="single" w:color="auto" w:sz="8" w:space="0"/>
            </w:tcBorders>
            <w:shd w:val="clear" w:color="auto" w:fill="FFFFFF"/>
            <w:vAlign w:val="center"/>
          </w:tcPr>
          <w:p w14:paraId="762A3AE1">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r>
              <w:rPr>
                <w:rFonts w:hint="eastAsia"/>
              </w:rPr>
              <w:t>存储器</w:t>
            </w:r>
          </w:p>
        </w:tc>
        <w:tc>
          <w:tcPr>
            <w:tcW w:w="5280" w:type="dxa"/>
            <w:tcBorders>
              <w:top w:val="single" w:color="auto" w:sz="8" w:space="0"/>
              <w:left w:val="single" w:color="auto" w:sz="8" w:space="0"/>
              <w:bottom w:val="single" w:color="auto" w:sz="8" w:space="0"/>
              <w:right w:val="single" w:color="auto" w:sz="8" w:space="0"/>
            </w:tcBorders>
            <w:shd w:val="clear" w:color="auto" w:fill="FFFFFF"/>
            <w:vAlign w:val="center"/>
          </w:tcPr>
          <w:p w14:paraId="4D21BFD3">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r>
              <w:rPr>
                <w:rFonts w:hint="eastAsia"/>
              </w:rPr>
              <w:t>2T</w:t>
            </w:r>
          </w:p>
        </w:tc>
      </w:tr>
      <w:tr w14:paraId="36773BE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c>
          <w:tcPr>
            <w:tcW w:w="837"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102030DC">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p>
        </w:tc>
        <w:tc>
          <w:tcPr>
            <w:tcW w:w="876"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3DFF29EF">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p>
        </w:tc>
        <w:tc>
          <w:tcPr>
            <w:tcW w:w="1882" w:type="dxa"/>
            <w:tcBorders>
              <w:top w:val="single" w:color="auto" w:sz="8" w:space="0"/>
              <w:left w:val="single" w:color="auto" w:sz="8" w:space="0"/>
              <w:bottom w:val="single" w:color="auto" w:sz="8" w:space="0"/>
              <w:right w:val="single" w:color="auto" w:sz="8" w:space="0"/>
            </w:tcBorders>
            <w:shd w:val="clear" w:color="auto" w:fill="FFFFFF"/>
            <w:vAlign w:val="center"/>
          </w:tcPr>
          <w:p w14:paraId="00F890A4">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r>
              <w:rPr>
                <w:rFonts w:hint="eastAsia"/>
              </w:rPr>
              <w:t>以太网口</w:t>
            </w:r>
          </w:p>
        </w:tc>
        <w:tc>
          <w:tcPr>
            <w:tcW w:w="5280" w:type="dxa"/>
            <w:tcBorders>
              <w:top w:val="single" w:color="auto" w:sz="8" w:space="0"/>
              <w:left w:val="single" w:color="auto" w:sz="8" w:space="0"/>
              <w:bottom w:val="single" w:color="auto" w:sz="8" w:space="0"/>
              <w:right w:val="single" w:color="auto" w:sz="8" w:space="0"/>
            </w:tcBorders>
            <w:shd w:val="clear" w:color="auto" w:fill="FFFFFF"/>
            <w:vAlign w:val="center"/>
          </w:tcPr>
          <w:p w14:paraId="5AD19CBF">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r>
              <w:rPr>
                <w:rFonts w:hint="eastAsia"/>
              </w:rPr>
              <w:t>6 * RJ45千兆以太网接口</w:t>
            </w:r>
          </w:p>
        </w:tc>
      </w:tr>
      <w:tr w14:paraId="7795EBC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837"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1742F806">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p>
        </w:tc>
        <w:tc>
          <w:tcPr>
            <w:tcW w:w="876"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7F31BA7E">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p>
        </w:tc>
        <w:tc>
          <w:tcPr>
            <w:tcW w:w="1882" w:type="dxa"/>
            <w:tcBorders>
              <w:top w:val="single" w:color="auto" w:sz="8" w:space="0"/>
              <w:left w:val="single" w:color="auto" w:sz="8" w:space="0"/>
              <w:bottom w:val="single" w:color="auto" w:sz="8" w:space="0"/>
              <w:right w:val="single" w:color="auto" w:sz="8" w:space="0"/>
            </w:tcBorders>
            <w:shd w:val="clear" w:color="auto" w:fill="FFFFFF"/>
            <w:vAlign w:val="center"/>
          </w:tcPr>
          <w:p w14:paraId="31CC7C72">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r>
              <w:rPr>
                <w:rFonts w:hint="eastAsia"/>
              </w:rPr>
              <w:t>串口</w:t>
            </w:r>
          </w:p>
        </w:tc>
        <w:tc>
          <w:tcPr>
            <w:tcW w:w="5280" w:type="dxa"/>
            <w:tcBorders>
              <w:top w:val="single" w:color="auto" w:sz="8" w:space="0"/>
              <w:left w:val="single" w:color="auto" w:sz="8" w:space="0"/>
              <w:bottom w:val="single" w:color="auto" w:sz="8" w:space="0"/>
              <w:right w:val="single" w:color="auto" w:sz="8" w:space="0"/>
            </w:tcBorders>
            <w:shd w:val="clear" w:color="auto" w:fill="FFFFFF"/>
            <w:vAlign w:val="center"/>
          </w:tcPr>
          <w:p w14:paraId="0CCEE0E2">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r>
              <w:rPr>
                <w:rFonts w:hint="eastAsia"/>
              </w:rPr>
              <w:t>4个带光电隔离RS485下行通信口</w:t>
            </w:r>
          </w:p>
        </w:tc>
      </w:tr>
      <w:tr w14:paraId="33B77B6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c>
          <w:tcPr>
            <w:tcW w:w="837"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4D843665">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p>
        </w:tc>
        <w:tc>
          <w:tcPr>
            <w:tcW w:w="876"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6427A492">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p>
        </w:tc>
        <w:tc>
          <w:tcPr>
            <w:tcW w:w="1882" w:type="dxa"/>
            <w:tcBorders>
              <w:top w:val="single" w:color="auto" w:sz="8" w:space="0"/>
              <w:left w:val="single" w:color="auto" w:sz="8" w:space="0"/>
              <w:bottom w:val="single" w:color="auto" w:sz="8" w:space="0"/>
              <w:right w:val="single" w:color="auto" w:sz="8" w:space="0"/>
            </w:tcBorders>
            <w:shd w:val="clear" w:color="auto" w:fill="FFFFFF"/>
            <w:vAlign w:val="center"/>
          </w:tcPr>
          <w:p w14:paraId="5FE153BF">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r>
              <w:rPr>
                <w:rFonts w:hint="eastAsia"/>
              </w:rPr>
              <w:t>外设接口</w:t>
            </w:r>
          </w:p>
        </w:tc>
        <w:tc>
          <w:tcPr>
            <w:tcW w:w="5280" w:type="dxa"/>
            <w:tcBorders>
              <w:top w:val="single" w:color="auto" w:sz="8" w:space="0"/>
              <w:left w:val="single" w:color="auto" w:sz="8" w:space="0"/>
              <w:bottom w:val="single" w:color="auto" w:sz="8" w:space="0"/>
              <w:right w:val="single" w:color="auto" w:sz="8" w:space="0"/>
            </w:tcBorders>
            <w:shd w:val="clear" w:color="auto" w:fill="FFFFFF"/>
            <w:vAlign w:val="center"/>
          </w:tcPr>
          <w:p w14:paraId="6256B701">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r>
              <w:rPr>
                <w:rFonts w:hint="eastAsia"/>
              </w:rPr>
              <w:t>1个VGA接口、2个USB 3.0接口</w:t>
            </w:r>
          </w:p>
        </w:tc>
      </w:tr>
      <w:tr w14:paraId="473DFCD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c>
          <w:tcPr>
            <w:tcW w:w="837"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2106EB2D">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p>
        </w:tc>
        <w:tc>
          <w:tcPr>
            <w:tcW w:w="876"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2178EA60">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p>
        </w:tc>
        <w:tc>
          <w:tcPr>
            <w:tcW w:w="1882" w:type="dxa"/>
            <w:tcBorders>
              <w:top w:val="single" w:color="auto" w:sz="8" w:space="0"/>
              <w:left w:val="single" w:color="auto" w:sz="8" w:space="0"/>
              <w:bottom w:val="single" w:color="auto" w:sz="8" w:space="0"/>
              <w:right w:val="single" w:color="auto" w:sz="8" w:space="0"/>
            </w:tcBorders>
            <w:shd w:val="clear" w:color="auto" w:fill="FFFFFF"/>
            <w:vAlign w:val="center"/>
          </w:tcPr>
          <w:p w14:paraId="36C4343A">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r>
              <w:rPr>
                <w:rFonts w:hint="eastAsia"/>
              </w:rPr>
              <w:t>前面板指示灯</w:t>
            </w:r>
          </w:p>
        </w:tc>
        <w:tc>
          <w:tcPr>
            <w:tcW w:w="5280" w:type="dxa"/>
            <w:tcBorders>
              <w:top w:val="single" w:color="auto" w:sz="8" w:space="0"/>
              <w:left w:val="single" w:color="auto" w:sz="8" w:space="0"/>
              <w:bottom w:val="single" w:color="auto" w:sz="8" w:space="0"/>
              <w:right w:val="single" w:color="auto" w:sz="8" w:space="0"/>
            </w:tcBorders>
            <w:shd w:val="clear" w:color="auto" w:fill="FFFFFF"/>
            <w:vAlign w:val="center"/>
          </w:tcPr>
          <w:p w14:paraId="20145643">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r>
              <w:rPr>
                <w:rFonts w:hint="eastAsia"/>
              </w:rPr>
              <w:t>PWR/RUN/HDD  串口 RX/TX</w:t>
            </w:r>
          </w:p>
        </w:tc>
      </w:tr>
      <w:tr w14:paraId="05513A3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837"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301A90CA">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p>
        </w:tc>
        <w:tc>
          <w:tcPr>
            <w:tcW w:w="876"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06315B72">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p>
        </w:tc>
        <w:tc>
          <w:tcPr>
            <w:tcW w:w="1882" w:type="dxa"/>
            <w:tcBorders>
              <w:top w:val="single" w:color="auto" w:sz="8" w:space="0"/>
              <w:left w:val="single" w:color="auto" w:sz="8" w:space="0"/>
              <w:bottom w:val="single" w:color="auto" w:sz="8" w:space="0"/>
              <w:right w:val="single" w:color="auto" w:sz="8" w:space="0"/>
            </w:tcBorders>
            <w:shd w:val="clear" w:color="auto" w:fill="FFFFFF"/>
            <w:vAlign w:val="center"/>
          </w:tcPr>
          <w:p w14:paraId="2E8DD186">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r>
              <w:rPr>
                <w:rFonts w:hint="eastAsia"/>
              </w:rPr>
              <w:t>RTC时钟电路</w:t>
            </w:r>
          </w:p>
        </w:tc>
        <w:tc>
          <w:tcPr>
            <w:tcW w:w="5280" w:type="dxa"/>
            <w:tcBorders>
              <w:top w:val="single" w:color="auto" w:sz="8" w:space="0"/>
              <w:left w:val="single" w:color="auto" w:sz="8" w:space="0"/>
              <w:bottom w:val="single" w:color="auto" w:sz="8" w:space="0"/>
              <w:right w:val="single" w:color="auto" w:sz="8" w:space="0"/>
            </w:tcBorders>
            <w:shd w:val="clear" w:color="auto" w:fill="FFFFFF"/>
            <w:vAlign w:val="center"/>
          </w:tcPr>
          <w:p w14:paraId="11ABC27F">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r>
              <w:rPr>
                <w:rFonts w:hint="eastAsia"/>
              </w:rPr>
              <w:t>内部电池供电保持时钟正确运行</w:t>
            </w:r>
          </w:p>
        </w:tc>
      </w:tr>
      <w:tr w14:paraId="7AFDD4A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c>
          <w:tcPr>
            <w:tcW w:w="837"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1831F1D2">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p>
        </w:tc>
        <w:tc>
          <w:tcPr>
            <w:tcW w:w="876"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4F16C979">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p>
        </w:tc>
        <w:tc>
          <w:tcPr>
            <w:tcW w:w="1882" w:type="dxa"/>
            <w:tcBorders>
              <w:top w:val="single" w:color="auto" w:sz="8" w:space="0"/>
              <w:left w:val="single" w:color="auto" w:sz="8" w:space="0"/>
              <w:bottom w:val="single" w:color="auto" w:sz="8" w:space="0"/>
              <w:right w:val="single" w:color="auto" w:sz="8" w:space="0"/>
            </w:tcBorders>
            <w:shd w:val="clear" w:color="auto" w:fill="FFFFFF"/>
            <w:vAlign w:val="center"/>
          </w:tcPr>
          <w:p w14:paraId="383C0C09">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r>
              <w:rPr>
                <w:rFonts w:hint="eastAsia"/>
              </w:rPr>
              <w:t>看门狗定时器</w:t>
            </w:r>
          </w:p>
        </w:tc>
        <w:tc>
          <w:tcPr>
            <w:tcW w:w="5280" w:type="dxa"/>
            <w:tcBorders>
              <w:top w:val="single" w:color="auto" w:sz="8" w:space="0"/>
              <w:left w:val="single" w:color="auto" w:sz="8" w:space="0"/>
              <w:bottom w:val="single" w:color="auto" w:sz="8" w:space="0"/>
              <w:right w:val="single" w:color="auto" w:sz="8" w:space="0"/>
            </w:tcBorders>
            <w:shd w:val="clear" w:color="auto" w:fill="FFFFFF"/>
            <w:vAlign w:val="center"/>
          </w:tcPr>
          <w:p w14:paraId="72A69061">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r>
              <w:rPr>
                <w:rFonts w:hint="eastAsia"/>
              </w:rPr>
              <w:t>有</w:t>
            </w:r>
          </w:p>
        </w:tc>
      </w:tr>
      <w:tr w14:paraId="007E161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c>
          <w:tcPr>
            <w:tcW w:w="837"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76D39E12">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p>
        </w:tc>
        <w:tc>
          <w:tcPr>
            <w:tcW w:w="876"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14:paraId="2F641A8A">
            <w:pPr>
              <w:keepNext w:val="0"/>
              <w:keepLines w:val="0"/>
              <w:pageBreakBefore w:val="0"/>
              <w:widowControl w:val="0"/>
              <w:kinsoku/>
              <w:wordWrap/>
              <w:overflowPunct/>
              <w:topLinePunct w:val="0"/>
              <w:autoSpaceDE/>
              <w:autoSpaceDN/>
              <w:bidi w:val="0"/>
              <w:adjustRightInd/>
              <w:snapToGrid/>
              <w:spacing w:line="240" w:lineRule="exact"/>
              <w:textAlignment w:val="auto"/>
            </w:pPr>
            <w:r>
              <w:rPr>
                <w:rFonts w:hint="eastAsia"/>
              </w:rPr>
              <w:t>软件特征</w:t>
            </w:r>
          </w:p>
        </w:tc>
        <w:tc>
          <w:tcPr>
            <w:tcW w:w="1882" w:type="dxa"/>
            <w:tcBorders>
              <w:top w:val="single" w:color="auto" w:sz="8" w:space="0"/>
              <w:left w:val="single" w:color="auto" w:sz="8" w:space="0"/>
              <w:bottom w:val="single" w:color="auto" w:sz="8" w:space="0"/>
              <w:right w:val="single" w:color="auto" w:sz="8" w:space="0"/>
            </w:tcBorders>
            <w:shd w:val="clear" w:color="auto" w:fill="FFFFFF"/>
            <w:vAlign w:val="center"/>
          </w:tcPr>
          <w:p w14:paraId="2E5AFFAB">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r>
              <w:rPr>
                <w:rFonts w:hint="eastAsia"/>
              </w:rPr>
              <w:t>操作系统</w:t>
            </w:r>
          </w:p>
        </w:tc>
        <w:tc>
          <w:tcPr>
            <w:tcW w:w="5280" w:type="dxa"/>
            <w:tcBorders>
              <w:top w:val="single" w:color="auto" w:sz="8" w:space="0"/>
              <w:left w:val="single" w:color="auto" w:sz="8" w:space="0"/>
              <w:bottom w:val="single" w:color="auto" w:sz="8" w:space="0"/>
              <w:right w:val="single" w:color="auto" w:sz="8" w:space="0"/>
            </w:tcBorders>
            <w:shd w:val="clear" w:color="auto" w:fill="FFFFFF"/>
            <w:vAlign w:val="center"/>
          </w:tcPr>
          <w:p w14:paraId="740F0D4C">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r>
              <w:rPr>
                <w:rFonts w:hint="eastAsia"/>
                <w:color w:val="000000" w:themeColor="text1"/>
                <w14:textFill>
                  <w14:solidFill>
                    <w14:schemeClr w14:val="tx1"/>
                  </w14:solidFill>
                </w14:textFill>
              </w:rPr>
              <w:t>Windows10</w:t>
            </w:r>
          </w:p>
        </w:tc>
      </w:tr>
      <w:tr w14:paraId="0387644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837"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002174F4">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p>
        </w:tc>
        <w:tc>
          <w:tcPr>
            <w:tcW w:w="876"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1E9061E7">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p>
        </w:tc>
        <w:tc>
          <w:tcPr>
            <w:tcW w:w="1882" w:type="dxa"/>
            <w:tcBorders>
              <w:top w:val="single" w:color="auto" w:sz="8" w:space="0"/>
              <w:left w:val="single" w:color="auto" w:sz="8" w:space="0"/>
              <w:bottom w:val="single" w:color="auto" w:sz="8" w:space="0"/>
              <w:right w:val="single" w:color="auto" w:sz="8" w:space="0"/>
            </w:tcBorders>
            <w:shd w:val="clear" w:color="auto" w:fill="FFFFFF"/>
            <w:vAlign w:val="center"/>
          </w:tcPr>
          <w:p w14:paraId="24088ECE">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r>
              <w:rPr>
                <w:rFonts w:hint="eastAsia"/>
              </w:rPr>
              <w:t>数据采集协议</w:t>
            </w:r>
          </w:p>
        </w:tc>
        <w:tc>
          <w:tcPr>
            <w:tcW w:w="5280" w:type="dxa"/>
            <w:tcBorders>
              <w:top w:val="single" w:color="auto" w:sz="8" w:space="0"/>
              <w:left w:val="single" w:color="auto" w:sz="8" w:space="0"/>
              <w:bottom w:val="single" w:color="auto" w:sz="8" w:space="0"/>
              <w:right w:val="single" w:color="auto" w:sz="8" w:space="0"/>
            </w:tcBorders>
            <w:shd w:val="clear" w:color="auto" w:fill="FFFFFF"/>
            <w:vAlign w:val="center"/>
          </w:tcPr>
          <w:p w14:paraId="775B4588">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r>
              <w:rPr>
                <w:rFonts w:hint="eastAsia"/>
              </w:rPr>
              <w:t>支持DL/T 645、Modbus RTU/TCP、CJ/T 188、IEC-104、IEC-103、Q/GDW 376.1,每个接口独立可配置</w:t>
            </w:r>
          </w:p>
        </w:tc>
      </w:tr>
      <w:tr w14:paraId="7434881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837"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7C1F950B">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p>
        </w:tc>
        <w:tc>
          <w:tcPr>
            <w:tcW w:w="876"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62A5B43D">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p>
        </w:tc>
        <w:tc>
          <w:tcPr>
            <w:tcW w:w="1882" w:type="dxa"/>
            <w:tcBorders>
              <w:top w:val="single" w:color="auto" w:sz="8" w:space="0"/>
              <w:left w:val="single" w:color="auto" w:sz="8" w:space="0"/>
              <w:bottom w:val="single" w:color="auto" w:sz="8" w:space="0"/>
              <w:right w:val="single" w:color="auto" w:sz="8" w:space="0"/>
            </w:tcBorders>
            <w:shd w:val="clear" w:color="auto" w:fill="FFFFFF"/>
            <w:vAlign w:val="center"/>
          </w:tcPr>
          <w:p w14:paraId="0A008212">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r>
              <w:rPr>
                <w:rFonts w:hint="eastAsia"/>
              </w:rPr>
              <w:t>数据解析处理</w:t>
            </w:r>
          </w:p>
        </w:tc>
        <w:tc>
          <w:tcPr>
            <w:tcW w:w="5280" w:type="dxa"/>
            <w:tcBorders>
              <w:top w:val="single" w:color="auto" w:sz="8" w:space="0"/>
              <w:left w:val="single" w:color="auto" w:sz="8" w:space="0"/>
              <w:bottom w:val="single" w:color="auto" w:sz="8" w:space="0"/>
              <w:right w:val="single" w:color="auto" w:sz="8" w:space="0"/>
            </w:tcBorders>
            <w:shd w:val="clear" w:color="auto" w:fill="FFFFFF"/>
            <w:vAlign w:val="center"/>
          </w:tcPr>
          <w:p w14:paraId="508AB452">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r>
              <w:rPr>
                <w:rFonts w:hint="eastAsia"/>
              </w:rPr>
              <w:t>具有内部数据解析和量程变换等处理功能</w:t>
            </w:r>
          </w:p>
        </w:tc>
      </w:tr>
      <w:tr w14:paraId="486B527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c>
          <w:tcPr>
            <w:tcW w:w="837"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14:paraId="1E553C63">
            <w:pPr>
              <w:keepNext w:val="0"/>
              <w:keepLines w:val="0"/>
              <w:pageBreakBefore w:val="0"/>
              <w:widowControl w:val="0"/>
              <w:kinsoku/>
              <w:wordWrap/>
              <w:overflowPunct/>
              <w:topLinePunct w:val="0"/>
              <w:autoSpaceDE/>
              <w:autoSpaceDN/>
              <w:bidi w:val="0"/>
              <w:adjustRightInd/>
              <w:snapToGrid/>
              <w:spacing w:line="240" w:lineRule="exact"/>
              <w:textAlignment w:val="auto"/>
            </w:pPr>
            <w:r>
              <w:rPr>
                <w:rFonts w:hint="eastAsia"/>
              </w:rPr>
              <w:t>隔离网闸整机特性</w:t>
            </w:r>
          </w:p>
        </w:tc>
        <w:tc>
          <w:tcPr>
            <w:tcW w:w="876"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14:paraId="46FA62A1">
            <w:pPr>
              <w:keepNext w:val="0"/>
              <w:keepLines w:val="0"/>
              <w:pageBreakBefore w:val="0"/>
              <w:widowControl w:val="0"/>
              <w:kinsoku/>
              <w:wordWrap/>
              <w:overflowPunct/>
              <w:topLinePunct w:val="0"/>
              <w:autoSpaceDE/>
              <w:autoSpaceDN/>
              <w:bidi w:val="0"/>
              <w:adjustRightInd/>
              <w:snapToGrid/>
              <w:spacing w:line="240" w:lineRule="exact"/>
              <w:textAlignment w:val="auto"/>
            </w:pPr>
            <w:r>
              <w:rPr>
                <w:rFonts w:hint="eastAsia"/>
              </w:rPr>
              <w:t>状态监视</w:t>
            </w:r>
          </w:p>
        </w:tc>
        <w:tc>
          <w:tcPr>
            <w:tcW w:w="1882" w:type="dxa"/>
            <w:tcBorders>
              <w:top w:val="single" w:color="auto" w:sz="8" w:space="0"/>
              <w:left w:val="single" w:color="auto" w:sz="8" w:space="0"/>
              <w:bottom w:val="single" w:color="auto" w:sz="8" w:space="0"/>
              <w:right w:val="single" w:color="auto" w:sz="8" w:space="0"/>
            </w:tcBorders>
            <w:shd w:val="clear" w:color="auto" w:fill="FFFFFF"/>
            <w:vAlign w:val="center"/>
          </w:tcPr>
          <w:p w14:paraId="0EA68AF7">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r>
              <w:rPr>
                <w:rFonts w:hint="eastAsia"/>
              </w:rPr>
              <w:t>环境参数</w:t>
            </w:r>
          </w:p>
        </w:tc>
        <w:tc>
          <w:tcPr>
            <w:tcW w:w="5280" w:type="dxa"/>
            <w:tcBorders>
              <w:top w:val="single" w:color="auto" w:sz="8" w:space="0"/>
              <w:left w:val="single" w:color="auto" w:sz="8" w:space="0"/>
              <w:bottom w:val="single" w:color="auto" w:sz="8" w:space="0"/>
              <w:right w:val="single" w:color="auto" w:sz="8" w:space="0"/>
            </w:tcBorders>
            <w:shd w:val="clear" w:color="auto" w:fill="FFFFFF"/>
            <w:vAlign w:val="center"/>
          </w:tcPr>
          <w:p w14:paraId="262DDC5B">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r>
              <w:rPr>
                <w:rFonts w:hint="eastAsia"/>
              </w:rPr>
              <w:t>主机内部温度监视</w:t>
            </w:r>
          </w:p>
        </w:tc>
      </w:tr>
      <w:tr w14:paraId="6CBBB4C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837"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584897E5">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p>
        </w:tc>
        <w:tc>
          <w:tcPr>
            <w:tcW w:w="876"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73F80A26">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p>
        </w:tc>
        <w:tc>
          <w:tcPr>
            <w:tcW w:w="1882" w:type="dxa"/>
            <w:tcBorders>
              <w:top w:val="single" w:color="auto" w:sz="8" w:space="0"/>
              <w:left w:val="single" w:color="auto" w:sz="8" w:space="0"/>
              <w:bottom w:val="single" w:color="auto" w:sz="8" w:space="0"/>
              <w:right w:val="single" w:color="auto" w:sz="8" w:space="0"/>
            </w:tcBorders>
            <w:shd w:val="clear" w:color="auto" w:fill="FFFFFF"/>
            <w:vAlign w:val="center"/>
          </w:tcPr>
          <w:p w14:paraId="0DAA4B78">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r>
              <w:rPr>
                <w:rFonts w:hint="eastAsia"/>
              </w:rPr>
              <w:t>运行参数</w:t>
            </w:r>
          </w:p>
        </w:tc>
        <w:tc>
          <w:tcPr>
            <w:tcW w:w="5280" w:type="dxa"/>
            <w:tcBorders>
              <w:top w:val="single" w:color="auto" w:sz="8" w:space="0"/>
              <w:left w:val="single" w:color="auto" w:sz="8" w:space="0"/>
              <w:bottom w:val="single" w:color="auto" w:sz="8" w:space="0"/>
              <w:right w:val="single" w:color="auto" w:sz="8" w:space="0"/>
            </w:tcBorders>
            <w:shd w:val="clear" w:color="auto" w:fill="FFFFFF"/>
            <w:vAlign w:val="center"/>
          </w:tcPr>
          <w:p w14:paraId="591DF137">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r>
              <w:rPr>
                <w:rFonts w:hint="eastAsia"/>
              </w:rPr>
              <w:t>CPU工作温度、使用率；内存使用率；电源供电状态；系统运行状态</w:t>
            </w:r>
          </w:p>
        </w:tc>
      </w:tr>
      <w:tr w14:paraId="5B8228B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837"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78132269">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p>
        </w:tc>
        <w:tc>
          <w:tcPr>
            <w:tcW w:w="876"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111C1A8C">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p>
        </w:tc>
        <w:tc>
          <w:tcPr>
            <w:tcW w:w="1882" w:type="dxa"/>
            <w:tcBorders>
              <w:top w:val="single" w:color="auto" w:sz="8" w:space="0"/>
              <w:left w:val="single" w:color="auto" w:sz="8" w:space="0"/>
              <w:bottom w:val="single" w:color="auto" w:sz="8" w:space="0"/>
              <w:right w:val="single" w:color="auto" w:sz="8" w:space="0"/>
            </w:tcBorders>
            <w:shd w:val="clear" w:color="auto" w:fill="FFFFFF"/>
            <w:vAlign w:val="center"/>
          </w:tcPr>
          <w:p w14:paraId="7E331ED5">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r>
              <w:rPr>
                <w:rFonts w:hint="eastAsia"/>
              </w:rPr>
              <w:t>远程管理</w:t>
            </w:r>
          </w:p>
        </w:tc>
        <w:tc>
          <w:tcPr>
            <w:tcW w:w="5280" w:type="dxa"/>
            <w:tcBorders>
              <w:top w:val="single" w:color="auto" w:sz="8" w:space="0"/>
              <w:left w:val="single" w:color="auto" w:sz="8" w:space="0"/>
              <w:bottom w:val="single" w:color="auto" w:sz="8" w:space="0"/>
              <w:right w:val="single" w:color="auto" w:sz="8" w:space="0"/>
            </w:tcBorders>
            <w:shd w:val="clear" w:color="auto" w:fill="FFFFFF"/>
            <w:vAlign w:val="center"/>
          </w:tcPr>
          <w:p w14:paraId="0A32D781">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r>
              <w:rPr>
                <w:rFonts w:hint="eastAsia"/>
              </w:rPr>
              <w:t>支持远程启动内外网主机系统、上传主机地址、采集数据项、安装/卸载/升级应用程序、</w:t>
            </w:r>
          </w:p>
        </w:tc>
      </w:tr>
      <w:tr w14:paraId="1FAF61E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837"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2B6188F8">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p>
        </w:tc>
        <w:tc>
          <w:tcPr>
            <w:tcW w:w="876"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14:paraId="57D04F4F">
            <w:pPr>
              <w:keepNext w:val="0"/>
              <w:keepLines w:val="0"/>
              <w:pageBreakBefore w:val="0"/>
              <w:widowControl w:val="0"/>
              <w:kinsoku/>
              <w:wordWrap/>
              <w:overflowPunct/>
              <w:topLinePunct w:val="0"/>
              <w:autoSpaceDE/>
              <w:autoSpaceDN/>
              <w:bidi w:val="0"/>
              <w:adjustRightInd/>
              <w:snapToGrid/>
              <w:spacing w:line="240" w:lineRule="exact"/>
              <w:textAlignment w:val="auto"/>
            </w:pPr>
            <w:r>
              <w:rPr>
                <w:rFonts w:hint="eastAsia"/>
              </w:rPr>
              <w:t>电源参数</w:t>
            </w:r>
          </w:p>
        </w:tc>
        <w:tc>
          <w:tcPr>
            <w:tcW w:w="1882" w:type="dxa"/>
            <w:tcBorders>
              <w:top w:val="single" w:color="auto" w:sz="8" w:space="0"/>
              <w:left w:val="single" w:color="auto" w:sz="8" w:space="0"/>
              <w:bottom w:val="single" w:color="auto" w:sz="8" w:space="0"/>
              <w:right w:val="single" w:color="auto" w:sz="8" w:space="0"/>
            </w:tcBorders>
            <w:shd w:val="clear" w:color="auto" w:fill="FFFFFF"/>
            <w:vAlign w:val="center"/>
          </w:tcPr>
          <w:p w14:paraId="6D7F72E5">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r>
              <w:rPr>
                <w:rFonts w:hint="eastAsia"/>
              </w:rPr>
              <w:t>电源输入</w:t>
            </w:r>
          </w:p>
        </w:tc>
        <w:tc>
          <w:tcPr>
            <w:tcW w:w="5280" w:type="dxa"/>
            <w:tcBorders>
              <w:top w:val="single" w:color="auto" w:sz="8" w:space="0"/>
              <w:left w:val="single" w:color="auto" w:sz="8" w:space="0"/>
              <w:bottom w:val="single" w:color="auto" w:sz="8" w:space="0"/>
              <w:right w:val="single" w:color="auto" w:sz="8" w:space="0"/>
            </w:tcBorders>
            <w:shd w:val="clear" w:color="auto" w:fill="FFFFFF"/>
            <w:vAlign w:val="center"/>
          </w:tcPr>
          <w:p w14:paraId="4D67BC4B">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r>
              <w:rPr>
                <w:rFonts w:hint="eastAsia"/>
              </w:rPr>
              <w:t>220VAC</w:t>
            </w:r>
          </w:p>
        </w:tc>
      </w:tr>
      <w:tr w14:paraId="680EA9F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837"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264B16BC">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p>
        </w:tc>
        <w:tc>
          <w:tcPr>
            <w:tcW w:w="876"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29B3F8E6">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p>
        </w:tc>
        <w:tc>
          <w:tcPr>
            <w:tcW w:w="1882" w:type="dxa"/>
            <w:tcBorders>
              <w:top w:val="single" w:color="auto" w:sz="8" w:space="0"/>
              <w:left w:val="single" w:color="auto" w:sz="8" w:space="0"/>
              <w:bottom w:val="single" w:color="auto" w:sz="8" w:space="0"/>
              <w:right w:val="single" w:color="auto" w:sz="8" w:space="0"/>
            </w:tcBorders>
            <w:shd w:val="clear" w:color="auto" w:fill="FFFFFF"/>
            <w:vAlign w:val="center"/>
          </w:tcPr>
          <w:p w14:paraId="786057C8">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r>
              <w:rPr>
                <w:rFonts w:hint="eastAsia"/>
              </w:rPr>
              <w:t>冗余供电</w:t>
            </w:r>
          </w:p>
        </w:tc>
        <w:tc>
          <w:tcPr>
            <w:tcW w:w="5280" w:type="dxa"/>
            <w:tcBorders>
              <w:top w:val="single" w:color="auto" w:sz="8" w:space="0"/>
              <w:left w:val="single" w:color="auto" w:sz="8" w:space="0"/>
              <w:bottom w:val="single" w:color="auto" w:sz="8" w:space="0"/>
              <w:right w:val="single" w:color="auto" w:sz="8" w:space="0"/>
            </w:tcBorders>
            <w:shd w:val="clear" w:color="auto" w:fill="FFFFFF"/>
            <w:vAlign w:val="center"/>
          </w:tcPr>
          <w:p w14:paraId="231497C2">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r>
              <w:rPr>
                <w:rFonts w:hint="eastAsia"/>
              </w:rPr>
              <w:t>支持</w:t>
            </w:r>
          </w:p>
        </w:tc>
      </w:tr>
      <w:tr w14:paraId="3AE183B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13" w:hRule="atLeast"/>
        </w:trPr>
        <w:tc>
          <w:tcPr>
            <w:tcW w:w="837"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159A72CC">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p>
        </w:tc>
        <w:tc>
          <w:tcPr>
            <w:tcW w:w="876"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6132B354">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p>
        </w:tc>
        <w:tc>
          <w:tcPr>
            <w:tcW w:w="1882" w:type="dxa"/>
            <w:tcBorders>
              <w:top w:val="single" w:color="auto" w:sz="8" w:space="0"/>
              <w:left w:val="single" w:color="auto" w:sz="8" w:space="0"/>
              <w:bottom w:val="single" w:color="auto" w:sz="8" w:space="0"/>
              <w:right w:val="single" w:color="auto" w:sz="8" w:space="0"/>
            </w:tcBorders>
            <w:shd w:val="clear" w:color="auto" w:fill="FFFFFF"/>
            <w:vAlign w:val="center"/>
          </w:tcPr>
          <w:p w14:paraId="711698B2">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r>
              <w:rPr>
                <w:rFonts w:hint="eastAsia"/>
              </w:rPr>
              <w:t>电源报警</w:t>
            </w:r>
          </w:p>
        </w:tc>
        <w:tc>
          <w:tcPr>
            <w:tcW w:w="5280" w:type="dxa"/>
            <w:tcBorders>
              <w:top w:val="single" w:color="auto" w:sz="8" w:space="0"/>
              <w:left w:val="single" w:color="auto" w:sz="8" w:space="0"/>
              <w:bottom w:val="single" w:color="auto" w:sz="8" w:space="0"/>
              <w:right w:val="single" w:color="auto" w:sz="8" w:space="0"/>
            </w:tcBorders>
            <w:shd w:val="clear" w:color="auto" w:fill="FFFFFF"/>
            <w:vAlign w:val="center"/>
          </w:tcPr>
          <w:p w14:paraId="0AECD62F">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r>
              <w:rPr>
                <w:rFonts w:hint="eastAsia"/>
              </w:rPr>
              <w:t>超限/断电语音报警</w:t>
            </w:r>
          </w:p>
        </w:tc>
      </w:tr>
      <w:tr w14:paraId="0109507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837"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7887F27A">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p>
        </w:tc>
        <w:tc>
          <w:tcPr>
            <w:tcW w:w="876"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126E2616">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p>
        </w:tc>
        <w:tc>
          <w:tcPr>
            <w:tcW w:w="1882" w:type="dxa"/>
            <w:tcBorders>
              <w:top w:val="single" w:color="auto" w:sz="8" w:space="0"/>
              <w:left w:val="single" w:color="auto" w:sz="8" w:space="0"/>
              <w:bottom w:val="single" w:color="auto" w:sz="8" w:space="0"/>
              <w:right w:val="single" w:color="auto" w:sz="8" w:space="0"/>
            </w:tcBorders>
            <w:shd w:val="clear" w:color="auto" w:fill="FFFFFF"/>
            <w:vAlign w:val="center"/>
          </w:tcPr>
          <w:p w14:paraId="26B7E5E5">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r>
              <w:rPr>
                <w:rFonts w:hint="eastAsia"/>
              </w:rPr>
              <w:t>典型功耗</w:t>
            </w:r>
          </w:p>
        </w:tc>
        <w:tc>
          <w:tcPr>
            <w:tcW w:w="5280" w:type="dxa"/>
            <w:tcBorders>
              <w:top w:val="single" w:color="auto" w:sz="8" w:space="0"/>
              <w:left w:val="single" w:color="auto" w:sz="8" w:space="0"/>
              <w:bottom w:val="single" w:color="auto" w:sz="8" w:space="0"/>
              <w:right w:val="single" w:color="auto" w:sz="8" w:space="0"/>
            </w:tcBorders>
            <w:shd w:val="clear" w:color="auto" w:fill="FFFFFF"/>
            <w:vAlign w:val="center"/>
          </w:tcPr>
          <w:p w14:paraId="77FB5C1A">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r>
              <w:rPr>
                <w:rFonts w:hint="eastAsia"/>
              </w:rPr>
              <w:t>30W</w:t>
            </w:r>
          </w:p>
        </w:tc>
      </w:tr>
      <w:tr w14:paraId="381865E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837"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5D60211F">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p>
        </w:tc>
        <w:tc>
          <w:tcPr>
            <w:tcW w:w="876"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14:paraId="4BE377D5">
            <w:pPr>
              <w:keepNext w:val="0"/>
              <w:keepLines w:val="0"/>
              <w:pageBreakBefore w:val="0"/>
              <w:widowControl w:val="0"/>
              <w:kinsoku/>
              <w:wordWrap/>
              <w:overflowPunct/>
              <w:topLinePunct w:val="0"/>
              <w:autoSpaceDE/>
              <w:autoSpaceDN/>
              <w:bidi w:val="0"/>
              <w:adjustRightInd/>
              <w:snapToGrid/>
              <w:spacing w:line="240" w:lineRule="exact"/>
              <w:textAlignment w:val="auto"/>
            </w:pPr>
            <w:r>
              <w:rPr>
                <w:rFonts w:hint="eastAsia"/>
              </w:rPr>
              <w:t>工作环境</w:t>
            </w:r>
          </w:p>
        </w:tc>
        <w:tc>
          <w:tcPr>
            <w:tcW w:w="1882" w:type="dxa"/>
            <w:tcBorders>
              <w:top w:val="single" w:color="auto" w:sz="8" w:space="0"/>
              <w:left w:val="single" w:color="auto" w:sz="8" w:space="0"/>
              <w:bottom w:val="single" w:color="auto" w:sz="8" w:space="0"/>
              <w:right w:val="single" w:color="auto" w:sz="8" w:space="0"/>
            </w:tcBorders>
            <w:shd w:val="clear" w:color="auto" w:fill="FFFFFF"/>
            <w:vAlign w:val="center"/>
          </w:tcPr>
          <w:p w14:paraId="7078F5F3">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r>
              <w:rPr>
                <w:rFonts w:hint="eastAsia"/>
              </w:rPr>
              <w:t>工作温度</w:t>
            </w:r>
          </w:p>
        </w:tc>
        <w:tc>
          <w:tcPr>
            <w:tcW w:w="5280" w:type="dxa"/>
            <w:tcBorders>
              <w:top w:val="single" w:color="auto" w:sz="8" w:space="0"/>
              <w:left w:val="single" w:color="auto" w:sz="8" w:space="0"/>
              <w:bottom w:val="single" w:color="auto" w:sz="8" w:space="0"/>
              <w:right w:val="single" w:color="auto" w:sz="8" w:space="0"/>
            </w:tcBorders>
            <w:shd w:val="clear" w:color="auto" w:fill="FFFFFF"/>
            <w:vAlign w:val="center"/>
          </w:tcPr>
          <w:p w14:paraId="6B8067BB">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r>
              <w:rPr>
                <w:rFonts w:hint="eastAsia"/>
              </w:rPr>
              <w:t>-25~55℃</w:t>
            </w:r>
          </w:p>
        </w:tc>
      </w:tr>
      <w:tr w14:paraId="229209D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837"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1B09F0DD">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p>
        </w:tc>
        <w:tc>
          <w:tcPr>
            <w:tcW w:w="876"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676A0CA0">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p>
        </w:tc>
        <w:tc>
          <w:tcPr>
            <w:tcW w:w="1882" w:type="dxa"/>
            <w:tcBorders>
              <w:top w:val="single" w:color="auto" w:sz="8" w:space="0"/>
              <w:left w:val="single" w:color="auto" w:sz="8" w:space="0"/>
              <w:bottom w:val="single" w:color="auto" w:sz="8" w:space="0"/>
              <w:right w:val="single" w:color="auto" w:sz="8" w:space="0"/>
            </w:tcBorders>
            <w:shd w:val="clear" w:color="auto" w:fill="FFFFFF"/>
            <w:vAlign w:val="center"/>
          </w:tcPr>
          <w:p w14:paraId="6A7334C2">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r>
              <w:rPr>
                <w:rFonts w:hint="eastAsia"/>
              </w:rPr>
              <w:t>工作湿度</w:t>
            </w:r>
          </w:p>
        </w:tc>
        <w:tc>
          <w:tcPr>
            <w:tcW w:w="5280" w:type="dxa"/>
            <w:tcBorders>
              <w:top w:val="single" w:color="auto" w:sz="8" w:space="0"/>
              <w:left w:val="single" w:color="auto" w:sz="8" w:space="0"/>
              <w:bottom w:val="single" w:color="auto" w:sz="8" w:space="0"/>
              <w:right w:val="single" w:color="auto" w:sz="8" w:space="0"/>
            </w:tcBorders>
            <w:shd w:val="clear" w:color="auto" w:fill="FFFFFF"/>
            <w:vAlign w:val="center"/>
          </w:tcPr>
          <w:p w14:paraId="60BBE020">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r>
              <w:rPr>
                <w:rFonts w:hint="eastAsia"/>
              </w:rPr>
              <w:t>5~95% 不凝结</w:t>
            </w:r>
          </w:p>
        </w:tc>
      </w:tr>
      <w:tr w14:paraId="6F9B90D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837"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578F3066">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p>
        </w:tc>
        <w:tc>
          <w:tcPr>
            <w:tcW w:w="876"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2B40AFF8">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p>
        </w:tc>
        <w:tc>
          <w:tcPr>
            <w:tcW w:w="1882" w:type="dxa"/>
            <w:tcBorders>
              <w:top w:val="single" w:color="auto" w:sz="8" w:space="0"/>
              <w:left w:val="single" w:color="auto" w:sz="8" w:space="0"/>
              <w:bottom w:val="single" w:color="auto" w:sz="8" w:space="0"/>
              <w:right w:val="single" w:color="auto" w:sz="8" w:space="0"/>
            </w:tcBorders>
            <w:shd w:val="clear" w:color="auto" w:fill="FFFFFF"/>
            <w:vAlign w:val="center"/>
          </w:tcPr>
          <w:p w14:paraId="6BAB7AAF">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r>
              <w:rPr>
                <w:rFonts w:hint="eastAsia"/>
              </w:rPr>
              <w:t>存储温度</w:t>
            </w:r>
          </w:p>
        </w:tc>
        <w:tc>
          <w:tcPr>
            <w:tcW w:w="5280" w:type="dxa"/>
            <w:tcBorders>
              <w:top w:val="single" w:color="auto" w:sz="8" w:space="0"/>
              <w:left w:val="single" w:color="auto" w:sz="8" w:space="0"/>
              <w:bottom w:val="single" w:color="auto" w:sz="8" w:space="0"/>
              <w:right w:val="single" w:color="auto" w:sz="8" w:space="0"/>
            </w:tcBorders>
            <w:shd w:val="clear" w:color="auto" w:fill="FFFFFF"/>
            <w:vAlign w:val="center"/>
          </w:tcPr>
          <w:p w14:paraId="2C8E7141">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r>
              <w:rPr>
                <w:rFonts w:hint="eastAsia"/>
              </w:rPr>
              <w:t>-40~70℃</w:t>
            </w:r>
          </w:p>
        </w:tc>
      </w:tr>
      <w:tr w14:paraId="1F6DAAA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837"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3E0FA9B2">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p>
        </w:tc>
        <w:tc>
          <w:tcPr>
            <w:tcW w:w="876"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14:paraId="79EDF098">
            <w:pPr>
              <w:keepNext w:val="0"/>
              <w:keepLines w:val="0"/>
              <w:pageBreakBefore w:val="0"/>
              <w:widowControl w:val="0"/>
              <w:kinsoku/>
              <w:wordWrap/>
              <w:overflowPunct/>
              <w:topLinePunct w:val="0"/>
              <w:autoSpaceDE/>
              <w:autoSpaceDN/>
              <w:bidi w:val="0"/>
              <w:adjustRightInd/>
              <w:snapToGrid/>
              <w:spacing w:line="240" w:lineRule="exact"/>
              <w:textAlignment w:val="auto"/>
            </w:pPr>
            <w:r>
              <w:rPr>
                <w:rFonts w:hint="eastAsia"/>
              </w:rPr>
              <w:t>机械特性</w:t>
            </w:r>
          </w:p>
        </w:tc>
        <w:tc>
          <w:tcPr>
            <w:tcW w:w="1882" w:type="dxa"/>
            <w:tcBorders>
              <w:top w:val="single" w:color="auto" w:sz="8" w:space="0"/>
              <w:left w:val="single" w:color="auto" w:sz="8" w:space="0"/>
              <w:bottom w:val="single" w:color="auto" w:sz="8" w:space="0"/>
              <w:right w:val="single" w:color="auto" w:sz="8" w:space="0"/>
            </w:tcBorders>
            <w:shd w:val="clear" w:color="auto" w:fill="FFFFFF"/>
            <w:vAlign w:val="center"/>
          </w:tcPr>
          <w:p w14:paraId="3833FCBE">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r>
              <w:rPr>
                <w:rFonts w:hint="eastAsia"/>
              </w:rPr>
              <w:t>机械尺寸</w:t>
            </w:r>
          </w:p>
        </w:tc>
        <w:tc>
          <w:tcPr>
            <w:tcW w:w="5280" w:type="dxa"/>
            <w:tcBorders>
              <w:top w:val="single" w:color="auto" w:sz="8" w:space="0"/>
              <w:left w:val="single" w:color="auto" w:sz="8" w:space="0"/>
              <w:bottom w:val="single" w:color="auto" w:sz="8" w:space="0"/>
              <w:right w:val="single" w:color="auto" w:sz="8" w:space="0"/>
            </w:tcBorders>
            <w:shd w:val="clear" w:color="auto" w:fill="FFFFFF"/>
            <w:vAlign w:val="center"/>
          </w:tcPr>
          <w:p w14:paraId="3D73D2E0">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r>
              <w:rPr>
                <w:rFonts w:hint="eastAsia"/>
              </w:rPr>
              <w:t>426(W) * 88(H) * 470(D) mm</w:t>
            </w:r>
          </w:p>
        </w:tc>
      </w:tr>
      <w:tr w14:paraId="4910431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837"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4D3882E3">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p>
        </w:tc>
        <w:tc>
          <w:tcPr>
            <w:tcW w:w="876"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0C021D7A">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p>
        </w:tc>
        <w:tc>
          <w:tcPr>
            <w:tcW w:w="1882" w:type="dxa"/>
            <w:tcBorders>
              <w:top w:val="single" w:color="auto" w:sz="8" w:space="0"/>
              <w:left w:val="single" w:color="auto" w:sz="8" w:space="0"/>
              <w:bottom w:val="single" w:color="auto" w:sz="8" w:space="0"/>
              <w:right w:val="single" w:color="auto" w:sz="8" w:space="0"/>
            </w:tcBorders>
            <w:shd w:val="clear" w:color="auto" w:fill="FFFFFF"/>
            <w:vAlign w:val="center"/>
          </w:tcPr>
          <w:p w14:paraId="48319116">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r>
              <w:rPr>
                <w:rFonts w:hint="eastAsia"/>
              </w:rPr>
              <w:t>安装方式</w:t>
            </w:r>
          </w:p>
        </w:tc>
        <w:tc>
          <w:tcPr>
            <w:tcW w:w="5280" w:type="dxa"/>
            <w:tcBorders>
              <w:top w:val="single" w:color="auto" w:sz="8" w:space="0"/>
              <w:left w:val="single" w:color="auto" w:sz="8" w:space="0"/>
              <w:bottom w:val="single" w:color="auto" w:sz="8" w:space="0"/>
              <w:right w:val="single" w:color="auto" w:sz="8" w:space="0"/>
            </w:tcBorders>
            <w:shd w:val="clear" w:color="auto" w:fill="FFFFFF"/>
            <w:vAlign w:val="center"/>
          </w:tcPr>
          <w:p w14:paraId="3097C293">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r>
              <w:rPr>
                <w:rFonts w:hint="eastAsia"/>
              </w:rPr>
              <w:t>2U 19英寸上架式</w:t>
            </w:r>
          </w:p>
        </w:tc>
      </w:tr>
      <w:tr w14:paraId="00E4928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c>
          <w:tcPr>
            <w:tcW w:w="837" w:type="dxa"/>
            <w:vMerge w:val="restart"/>
            <w:tcBorders>
              <w:top w:val="single" w:color="auto" w:sz="8" w:space="0"/>
              <w:left w:val="single" w:color="auto" w:sz="8" w:space="0"/>
              <w:right w:val="single" w:color="auto" w:sz="8" w:space="0"/>
            </w:tcBorders>
            <w:shd w:val="clear" w:color="auto" w:fill="FFFFFF"/>
            <w:vAlign w:val="center"/>
          </w:tcPr>
          <w:p w14:paraId="0FEB94D7">
            <w:pPr>
              <w:keepNext w:val="0"/>
              <w:keepLines w:val="0"/>
              <w:pageBreakBefore w:val="0"/>
              <w:widowControl w:val="0"/>
              <w:kinsoku/>
              <w:wordWrap/>
              <w:overflowPunct/>
              <w:topLinePunct w:val="0"/>
              <w:autoSpaceDE/>
              <w:autoSpaceDN/>
              <w:bidi w:val="0"/>
              <w:adjustRightInd/>
              <w:snapToGrid/>
              <w:spacing w:line="240" w:lineRule="exact"/>
              <w:textAlignment w:val="auto"/>
            </w:pPr>
            <w:r>
              <w:rPr>
                <w:rFonts w:hint="eastAsia"/>
              </w:rPr>
              <w:t>遵循标准</w:t>
            </w:r>
          </w:p>
        </w:tc>
        <w:tc>
          <w:tcPr>
            <w:tcW w:w="8038" w:type="dxa"/>
            <w:gridSpan w:val="3"/>
            <w:tcBorders>
              <w:top w:val="single" w:color="auto" w:sz="8" w:space="0"/>
              <w:left w:val="single" w:color="auto" w:sz="8" w:space="0"/>
              <w:bottom w:val="single" w:color="auto" w:sz="8" w:space="0"/>
              <w:right w:val="single" w:color="auto" w:sz="8" w:space="0"/>
            </w:tcBorders>
            <w:shd w:val="clear" w:color="auto" w:fill="FFFFFF"/>
            <w:vAlign w:val="center"/>
          </w:tcPr>
          <w:p w14:paraId="5BB9C5C2">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r>
              <w:rPr>
                <w:rFonts w:hint="eastAsia"/>
              </w:rPr>
              <w:t>GB/T 20279信息安全技术 网络和终端隔离产品安全技术要求</w:t>
            </w:r>
          </w:p>
        </w:tc>
      </w:tr>
      <w:tr w14:paraId="17AAAB0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837" w:type="dxa"/>
            <w:vMerge w:val="continue"/>
            <w:tcBorders>
              <w:left w:val="single" w:color="auto" w:sz="8" w:space="0"/>
              <w:right w:val="single" w:color="auto" w:sz="8" w:space="0"/>
            </w:tcBorders>
            <w:shd w:val="clear" w:color="auto" w:fill="FFFFFF"/>
            <w:vAlign w:val="center"/>
          </w:tcPr>
          <w:p w14:paraId="5BD5D97F">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p>
        </w:tc>
        <w:tc>
          <w:tcPr>
            <w:tcW w:w="8038" w:type="dxa"/>
            <w:gridSpan w:val="3"/>
            <w:tcBorders>
              <w:top w:val="single" w:color="auto" w:sz="8" w:space="0"/>
              <w:left w:val="single" w:color="auto" w:sz="8" w:space="0"/>
              <w:bottom w:val="single" w:color="auto" w:sz="8" w:space="0"/>
              <w:right w:val="single" w:color="auto" w:sz="8" w:space="0"/>
            </w:tcBorders>
            <w:shd w:val="clear" w:color="auto" w:fill="FFFFFF"/>
            <w:vAlign w:val="center"/>
          </w:tcPr>
          <w:p w14:paraId="3605CD88">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r>
              <w:rPr>
                <w:rFonts w:hint="eastAsia"/>
              </w:rPr>
              <w:t>JCTJ 005-2016 信息安全技术 通用渗透测试检测条件</w:t>
            </w:r>
          </w:p>
        </w:tc>
      </w:tr>
      <w:tr w14:paraId="17966FE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837" w:type="dxa"/>
            <w:vMerge w:val="continue"/>
            <w:tcBorders>
              <w:left w:val="single" w:color="auto" w:sz="8" w:space="0"/>
              <w:right w:val="single" w:color="auto" w:sz="8" w:space="0"/>
            </w:tcBorders>
            <w:shd w:val="clear" w:color="auto" w:fill="FFFFFF"/>
            <w:vAlign w:val="center"/>
          </w:tcPr>
          <w:p w14:paraId="09701678">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p>
        </w:tc>
        <w:tc>
          <w:tcPr>
            <w:tcW w:w="8038" w:type="dxa"/>
            <w:gridSpan w:val="3"/>
            <w:tcBorders>
              <w:top w:val="single" w:color="auto" w:sz="8" w:space="0"/>
              <w:left w:val="single" w:color="auto" w:sz="8" w:space="0"/>
              <w:bottom w:val="single" w:color="auto" w:sz="8" w:space="0"/>
              <w:right w:val="single" w:color="auto" w:sz="8" w:space="0"/>
            </w:tcBorders>
            <w:shd w:val="clear" w:color="auto" w:fill="FFFFFF"/>
            <w:vAlign w:val="center"/>
          </w:tcPr>
          <w:p w14:paraId="2C1AB4CA">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r>
              <w:rPr>
                <w:rFonts w:hint="eastAsia"/>
              </w:rPr>
              <w:t>GB/T 29871-2013 能源计量仪表通用数据接口技术协议</w:t>
            </w:r>
          </w:p>
        </w:tc>
      </w:tr>
      <w:tr w14:paraId="63B47F6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c>
          <w:tcPr>
            <w:tcW w:w="837" w:type="dxa"/>
            <w:vMerge w:val="continue"/>
            <w:tcBorders>
              <w:left w:val="single" w:color="auto" w:sz="8" w:space="0"/>
              <w:bottom w:val="single" w:color="auto" w:sz="8" w:space="0"/>
              <w:right w:val="single" w:color="auto" w:sz="8" w:space="0"/>
            </w:tcBorders>
            <w:shd w:val="clear" w:color="auto" w:fill="FFFFFF"/>
            <w:vAlign w:val="center"/>
          </w:tcPr>
          <w:p w14:paraId="014F54C0">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p>
        </w:tc>
        <w:tc>
          <w:tcPr>
            <w:tcW w:w="8038" w:type="dxa"/>
            <w:gridSpan w:val="3"/>
            <w:tcBorders>
              <w:top w:val="single" w:color="auto" w:sz="8" w:space="0"/>
              <w:left w:val="single" w:color="auto" w:sz="8" w:space="0"/>
              <w:bottom w:val="single" w:color="auto" w:sz="8" w:space="0"/>
              <w:right w:val="single" w:color="auto" w:sz="8" w:space="0"/>
            </w:tcBorders>
            <w:shd w:val="clear" w:color="auto" w:fill="FFFFFF"/>
            <w:vAlign w:val="center"/>
          </w:tcPr>
          <w:p w14:paraId="5B72F1D6">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r>
              <w:rPr>
                <w:rFonts w:hint="eastAsia"/>
              </w:rPr>
              <w:t>GB/T 29872-2013 工业企业能源计量数据集中采集终端通用技术条件</w:t>
            </w:r>
          </w:p>
        </w:tc>
      </w:tr>
      <w:tr w14:paraId="39ECCA3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c>
          <w:tcPr>
            <w:tcW w:w="837" w:type="dxa"/>
            <w:vMerge w:val="continue"/>
            <w:tcBorders>
              <w:left w:val="single" w:color="auto" w:sz="8" w:space="0"/>
              <w:bottom w:val="single" w:color="auto" w:sz="8" w:space="0"/>
              <w:right w:val="single" w:color="auto" w:sz="8" w:space="0"/>
            </w:tcBorders>
            <w:shd w:val="clear" w:color="auto" w:fill="FFFFFF"/>
            <w:vAlign w:val="center"/>
          </w:tcPr>
          <w:p w14:paraId="1E885D80">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p>
        </w:tc>
        <w:tc>
          <w:tcPr>
            <w:tcW w:w="8038" w:type="dxa"/>
            <w:gridSpan w:val="3"/>
            <w:tcBorders>
              <w:top w:val="single" w:color="auto" w:sz="8" w:space="0"/>
              <w:left w:val="single" w:color="auto" w:sz="8" w:space="0"/>
              <w:bottom w:val="single" w:color="auto" w:sz="8" w:space="0"/>
              <w:right w:val="single" w:color="auto" w:sz="8" w:space="0"/>
            </w:tcBorders>
            <w:shd w:val="clear" w:color="auto" w:fill="FFFFFF"/>
            <w:vAlign w:val="center"/>
          </w:tcPr>
          <w:p w14:paraId="7077AB1F">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r>
              <w:rPr>
                <w:rFonts w:hint="eastAsia"/>
              </w:rPr>
              <w:t>GB/T 30976.1 工业控制系统信息安全 第1部分 评估规范</w:t>
            </w:r>
          </w:p>
        </w:tc>
      </w:tr>
      <w:tr w14:paraId="7153298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837" w:type="dxa"/>
            <w:vMerge w:val="continue"/>
            <w:tcBorders>
              <w:left w:val="single" w:color="auto" w:sz="8" w:space="0"/>
              <w:bottom w:val="single" w:color="auto" w:sz="8" w:space="0"/>
              <w:right w:val="single" w:color="auto" w:sz="8" w:space="0"/>
            </w:tcBorders>
            <w:shd w:val="clear" w:color="auto" w:fill="FFFFFF"/>
            <w:vAlign w:val="center"/>
          </w:tcPr>
          <w:p w14:paraId="4C1730F2">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p>
        </w:tc>
        <w:tc>
          <w:tcPr>
            <w:tcW w:w="8038" w:type="dxa"/>
            <w:gridSpan w:val="3"/>
            <w:tcBorders>
              <w:top w:val="single" w:color="auto" w:sz="8" w:space="0"/>
              <w:left w:val="single" w:color="auto" w:sz="8" w:space="0"/>
              <w:bottom w:val="single" w:color="auto" w:sz="8" w:space="0"/>
              <w:right w:val="single" w:color="auto" w:sz="8" w:space="0"/>
            </w:tcBorders>
            <w:shd w:val="clear" w:color="auto" w:fill="FFFFFF"/>
            <w:vAlign w:val="center"/>
          </w:tcPr>
          <w:p w14:paraId="30BD82E4">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r>
              <w:rPr>
                <w:rFonts w:hint="eastAsia"/>
              </w:rPr>
              <w:t>GB/T 30976.2 工业控制系统信息安全 第2部分 验收规范</w:t>
            </w:r>
          </w:p>
        </w:tc>
      </w:tr>
      <w:tr w14:paraId="1EA3B3C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837"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14:paraId="1E6D5C44">
            <w:pPr>
              <w:keepNext w:val="0"/>
              <w:keepLines w:val="0"/>
              <w:pageBreakBefore w:val="0"/>
              <w:widowControl w:val="0"/>
              <w:kinsoku/>
              <w:wordWrap/>
              <w:overflowPunct/>
              <w:topLinePunct w:val="0"/>
              <w:autoSpaceDE/>
              <w:autoSpaceDN/>
              <w:bidi w:val="0"/>
              <w:adjustRightInd/>
              <w:snapToGrid/>
              <w:spacing w:line="240" w:lineRule="exact"/>
              <w:textAlignment w:val="auto"/>
            </w:pPr>
            <w:r>
              <w:rPr>
                <w:rFonts w:hint="eastAsia"/>
              </w:rPr>
              <w:t>电磁兼容性认证</w:t>
            </w:r>
          </w:p>
        </w:tc>
        <w:tc>
          <w:tcPr>
            <w:tcW w:w="8038" w:type="dxa"/>
            <w:gridSpan w:val="3"/>
            <w:tcBorders>
              <w:top w:val="single" w:color="auto" w:sz="8" w:space="0"/>
              <w:left w:val="single" w:color="auto" w:sz="8" w:space="0"/>
              <w:bottom w:val="single" w:color="auto" w:sz="8" w:space="0"/>
              <w:right w:val="single" w:color="auto" w:sz="8" w:space="0"/>
            </w:tcBorders>
            <w:shd w:val="clear" w:color="auto" w:fill="FFFFFF"/>
            <w:vAlign w:val="center"/>
          </w:tcPr>
          <w:p w14:paraId="64795AF7">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r>
              <w:rPr>
                <w:rFonts w:hint="eastAsia"/>
              </w:rPr>
              <w:t>GB/T 17626.2-1998《电磁兼容试验和测量技术静电放电抗扰度试验》4级</w:t>
            </w:r>
          </w:p>
        </w:tc>
      </w:tr>
      <w:tr w14:paraId="1DDA6B6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c>
          <w:tcPr>
            <w:tcW w:w="837"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09340740">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p>
        </w:tc>
        <w:tc>
          <w:tcPr>
            <w:tcW w:w="8038" w:type="dxa"/>
            <w:gridSpan w:val="3"/>
            <w:tcBorders>
              <w:top w:val="single" w:color="auto" w:sz="8" w:space="0"/>
              <w:left w:val="single" w:color="auto" w:sz="8" w:space="0"/>
              <w:bottom w:val="single" w:color="auto" w:sz="8" w:space="0"/>
              <w:right w:val="single" w:color="auto" w:sz="8" w:space="0"/>
            </w:tcBorders>
            <w:shd w:val="clear" w:color="auto" w:fill="FFFFFF"/>
            <w:vAlign w:val="center"/>
          </w:tcPr>
          <w:p w14:paraId="2C06D9B3">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r>
              <w:rPr>
                <w:rFonts w:hint="eastAsia"/>
              </w:rPr>
              <w:t>GB/T 17626.3-1998《电磁兼容试验和测量技术射频电磁场辐射抗扰度实验》4级</w:t>
            </w:r>
          </w:p>
        </w:tc>
      </w:tr>
      <w:tr w14:paraId="3573381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837"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5F569A1E">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p>
        </w:tc>
        <w:tc>
          <w:tcPr>
            <w:tcW w:w="8038" w:type="dxa"/>
            <w:gridSpan w:val="3"/>
            <w:tcBorders>
              <w:top w:val="single" w:color="auto" w:sz="8" w:space="0"/>
              <w:left w:val="single" w:color="auto" w:sz="8" w:space="0"/>
              <w:bottom w:val="single" w:color="auto" w:sz="8" w:space="0"/>
              <w:right w:val="single" w:color="auto" w:sz="8" w:space="0"/>
            </w:tcBorders>
            <w:shd w:val="clear" w:color="auto" w:fill="FFFFFF"/>
            <w:vAlign w:val="center"/>
          </w:tcPr>
          <w:p w14:paraId="186352FB">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r>
              <w:rPr>
                <w:rFonts w:hint="eastAsia"/>
              </w:rPr>
              <w:t>GB/T 17626.4-1998《电磁兼容试验和测量技术电快速瞬变脉冲群抗扰度试验》4级</w:t>
            </w:r>
          </w:p>
        </w:tc>
      </w:tr>
      <w:tr w14:paraId="43B2E89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260" w:hRule="atLeast"/>
        </w:trPr>
        <w:tc>
          <w:tcPr>
            <w:tcW w:w="837"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203C443E">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p>
        </w:tc>
        <w:tc>
          <w:tcPr>
            <w:tcW w:w="8038" w:type="dxa"/>
            <w:gridSpan w:val="3"/>
            <w:tcBorders>
              <w:top w:val="single" w:color="auto" w:sz="8" w:space="0"/>
              <w:left w:val="single" w:color="auto" w:sz="8" w:space="0"/>
              <w:bottom w:val="single" w:color="auto" w:sz="8" w:space="0"/>
              <w:right w:val="single" w:color="auto" w:sz="8" w:space="0"/>
            </w:tcBorders>
            <w:shd w:val="clear" w:color="auto" w:fill="FFFFFF"/>
            <w:vAlign w:val="center"/>
          </w:tcPr>
          <w:p w14:paraId="4312CF99">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pPr>
            <w:r>
              <w:rPr>
                <w:rFonts w:hint="eastAsia"/>
              </w:rPr>
              <w:t>GB/T 17626.5-1998《电磁兼容试验和测量技术浪涌（冲击）抗扰度试验》4级</w:t>
            </w:r>
          </w:p>
        </w:tc>
      </w:tr>
    </w:tbl>
    <w:p w14:paraId="4191B1B0">
      <w:pPr>
        <w:spacing w:line="360" w:lineRule="auto"/>
      </w:pPr>
      <w:r>
        <w:rPr>
          <w:rFonts w:hint="eastAsia"/>
        </w:rPr>
        <w:t>3.4 数据接入</w:t>
      </w:r>
    </w:p>
    <w:p w14:paraId="0D5A75B2">
      <w:pPr>
        <w:spacing w:line="360" w:lineRule="auto"/>
        <w:ind w:firstLine="420" w:firstLineChars="200"/>
        <w:rPr>
          <w:b/>
          <w:bCs/>
        </w:rPr>
      </w:pPr>
      <w:r>
        <w:rPr>
          <w:rFonts w:hint="eastAsia"/>
        </w:rPr>
        <w:t>洛阳万基宏远电力有限公司所需上传的数据多数已上传至南京朗坤的MIS系统中，煤、油的数据由甲方负责手工填报。能耗在线监测系统可直接与MIS系统对接，获取所需上传的数据。能耗在线监测系统将MIS系统数据库中需要上传的测点镜像至本机；同时进行二次开发，将数据通过转换成json格式并打包，通过能耗在线监测系统的数据传输功能，将数据即时传输到正向网络隔离装置另一侧的前置服务器；在前置服务器上部署针对性开发的“数据上送接口程序”，负责从安全隔离区的数据交换与隔离系统（即端设备)接收来自于管理信息大区的数据服务器的数据，转换为省级中心要求的格式，以“端设备与省级平台通信协议”通过防火墙上传至省级平台和国家平台。</w:t>
      </w:r>
    </w:p>
    <w:p w14:paraId="6261EF73">
      <w:pPr>
        <w:spacing w:line="360" w:lineRule="auto"/>
      </w:pPr>
      <w:r>
        <w:rPr>
          <w:rFonts w:hint="eastAsia"/>
        </w:rPr>
        <w:t>3.5 企业内部数据网络结构</w:t>
      </w:r>
    </w:p>
    <w:p w14:paraId="622BFB0C">
      <w:pPr>
        <w:spacing w:line="360" w:lineRule="auto"/>
        <w:ind w:firstLine="420" w:firstLineChars="200"/>
      </w:pPr>
      <w:r>
        <w:rPr>
          <w:rFonts w:hint="eastAsia"/>
        </w:rPr>
        <w:t>洛阳万基宏远电力有限公司重点能耗在线监测系统安全防护设计采用“安全域纵深防护”、“多层次立体防御”及“信息安全等级保护”相结合，从系统（或设备）所在的计算环境、区域边界、通信网络、安全管理以及物理安全等多层面部署安全保障措施，满足不同等级系统在技术、管理各层面防护要求，实现数据、系统、网络等安全交换和关联分析管理，保障同级系统内部、跨级系统区域安全互联的安全。</w:t>
      </w:r>
    </w:p>
    <w:p w14:paraId="4C4AE741">
      <w:pPr>
        <w:spacing w:line="360" w:lineRule="auto"/>
        <w:ind w:firstLine="1050" w:firstLineChars="500"/>
      </w:pPr>
      <w:r>
        <w:rPr>
          <w:rFonts w:hint="eastAsia"/>
        </w:rPr>
        <w:t>网络整体架构规划图如下：</w:t>
      </w:r>
    </w:p>
    <w:p w14:paraId="70969807">
      <w:pPr>
        <w:pStyle w:val="48"/>
        <w:ind w:left="0" w:leftChars="0" w:firstLine="0" w:firstLineChars="0"/>
        <w:jc w:val="center"/>
      </w:pPr>
      <w:r>
        <w:rPr>
          <w:rFonts w:hint="eastAsia" w:eastAsia="宋体"/>
          <w:lang w:eastAsia="zh-CN"/>
        </w:rPr>
        <w:drawing>
          <wp:inline distT="0" distB="0" distL="114300" distR="114300">
            <wp:extent cx="3761740" cy="3983990"/>
            <wp:effectExtent l="0" t="0" r="10160" b="16510"/>
            <wp:docPr id="2" name="图片 2" descr="0b765d11-76b5-49dc-97e7-326b21c3cc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b765d11-76b5-49dc-97e7-326b21c3cc45"/>
                    <pic:cNvPicPr>
                      <a:picLocks noChangeAspect="1"/>
                    </pic:cNvPicPr>
                  </pic:nvPicPr>
                  <pic:blipFill>
                    <a:blip r:embed="rId11"/>
                    <a:stretch>
                      <a:fillRect/>
                    </a:stretch>
                  </pic:blipFill>
                  <pic:spPr>
                    <a:xfrm>
                      <a:off x="0" y="0"/>
                      <a:ext cx="3761740" cy="3983990"/>
                    </a:xfrm>
                    <a:prstGeom prst="rect">
                      <a:avLst/>
                    </a:prstGeom>
                  </pic:spPr>
                </pic:pic>
              </a:graphicData>
            </a:graphic>
          </wp:inline>
        </w:drawing>
      </w:r>
    </w:p>
    <w:p w14:paraId="5C534891">
      <w:pPr>
        <w:spacing w:line="380" w:lineRule="auto"/>
        <w:jc w:val="center"/>
        <w:rPr>
          <w:rFonts w:hint="eastAsia" w:ascii="宋体" w:hAnsi="宋体" w:cs="宋体"/>
          <w:szCs w:val="21"/>
        </w:rPr>
      </w:pPr>
      <w:r>
        <w:rPr>
          <w:rFonts w:hint="eastAsia" w:ascii="仿宋_GB2312" w:hAnsi="仿宋_GB2312" w:eastAsia="仿宋_GB2312" w:cs="仿宋_GB2312"/>
          <w:sz w:val="28"/>
          <w:szCs w:val="28"/>
        </w:rPr>
        <w:drawing>
          <wp:inline distT="0" distB="0" distL="114300" distR="114300">
            <wp:extent cx="2933700" cy="3919220"/>
            <wp:effectExtent l="0" t="0" r="0" b="508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2" cstate="print"/>
                    <a:srcRect b="4053"/>
                    <a:stretch>
                      <a:fillRect/>
                    </a:stretch>
                  </pic:blipFill>
                  <pic:spPr>
                    <a:xfrm>
                      <a:off x="0" y="0"/>
                      <a:ext cx="2933700" cy="3919220"/>
                    </a:xfrm>
                    <a:prstGeom prst="rect">
                      <a:avLst/>
                    </a:prstGeom>
                    <a:noFill/>
                    <a:ln w="9525">
                      <a:noFill/>
                    </a:ln>
                  </pic:spPr>
                </pic:pic>
              </a:graphicData>
            </a:graphic>
          </wp:inline>
        </w:drawing>
      </w:r>
    </w:p>
    <w:p w14:paraId="0213BE9E">
      <w:pPr>
        <w:spacing w:line="360" w:lineRule="auto"/>
        <w:rPr>
          <w:rFonts w:hint="eastAsia"/>
        </w:rPr>
      </w:pPr>
      <w:r>
        <w:rPr>
          <w:rFonts w:hint="eastAsia"/>
        </w:rPr>
        <w:t>3.6系统配置清单</w:t>
      </w:r>
    </w:p>
    <w:tbl>
      <w:tblPr>
        <w:tblStyle w:val="49"/>
        <w:tblW w:w="9062" w:type="dxa"/>
        <w:tblInd w:w="0" w:type="dxa"/>
        <w:tblLayout w:type="fixed"/>
        <w:tblCellMar>
          <w:top w:w="0" w:type="dxa"/>
          <w:left w:w="108" w:type="dxa"/>
          <w:bottom w:w="0" w:type="dxa"/>
          <w:right w:w="108" w:type="dxa"/>
        </w:tblCellMar>
      </w:tblPr>
      <w:tblGrid>
        <w:gridCol w:w="562"/>
        <w:gridCol w:w="1866"/>
        <w:gridCol w:w="3359"/>
        <w:gridCol w:w="1600"/>
        <w:gridCol w:w="813"/>
        <w:gridCol w:w="862"/>
      </w:tblGrid>
      <w:tr w14:paraId="4DECFDE2">
        <w:tblPrEx>
          <w:tblCellMar>
            <w:top w:w="0" w:type="dxa"/>
            <w:left w:w="108" w:type="dxa"/>
            <w:bottom w:w="0" w:type="dxa"/>
            <w:right w:w="108" w:type="dxa"/>
          </w:tblCellMar>
        </w:tblPrEx>
        <w:trPr>
          <w:trHeight w:val="324" w:hRule="atLeast"/>
        </w:trPr>
        <w:tc>
          <w:tcPr>
            <w:tcW w:w="562" w:type="dxa"/>
            <w:tcBorders>
              <w:top w:val="single" w:color="auto" w:sz="4" w:space="0"/>
              <w:left w:val="single" w:color="auto" w:sz="4" w:space="0"/>
              <w:bottom w:val="single" w:color="auto" w:sz="4" w:space="0"/>
              <w:right w:val="single" w:color="auto" w:sz="4" w:space="0"/>
            </w:tcBorders>
            <w:shd w:val="clear" w:color="000000" w:fill="C0C0C0"/>
            <w:vAlign w:val="center"/>
          </w:tcPr>
          <w:p w14:paraId="4BBB4C24">
            <w:pPr>
              <w:widowControl/>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序号</w:t>
            </w:r>
          </w:p>
        </w:tc>
        <w:tc>
          <w:tcPr>
            <w:tcW w:w="1866" w:type="dxa"/>
            <w:tcBorders>
              <w:top w:val="single" w:color="auto" w:sz="4" w:space="0"/>
              <w:left w:val="nil"/>
              <w:bottom w:val="single" w:color="auto" w:sz="4" w:space="0"/>
              <w:right w:val="single" w:color="auto" w:sz="4" w:space="0"/>
            </w:tcBorders>
            <w:shd w:val="clear" w:color="000000" w:fill="C0C0C0"/>
            <w:vAlign w:val="center"/>
          </w:tcPr>
          <w:p w14:paraId="148157AF">
            <w:pPr>
              <w:widowControl/>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名  称</w:t>
            </w:r>
          </w:p>
        </w:tc>
        <w:tc>
          <w:tcPr>
            <w:tcW w:w="3359" w:type="dxa"/>
            <w:tcBorders>
              <w:top w:val="single" w:color="auto" w:sz="4" w:space="0"/>
              <w:left w:val="nil"/>
              <w:bottom w:val="single" w:color="auto" w:sz="4" w:space="0"/>
              <w:right w:val="single" w:color="auto" w:sz="4" w:space="0"/>
            </w:tcBorders>
            <w:shd w:val="clear" w:color="000000" w:fill="C0C0C0"/>
            <w:vAlign w:val="center"/>
          </w:tcPr>
          <w:p w14:paraId="16272D33">
            <w:pPr>
              <w:widowControl/>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型号规格</w:t>
            </w:r>
          </w:p>
        </w:tc>
        <w:tc>
          <w:tcPr>
            <w:tcW w:w="1600" w:type="dxa"/>
            <w:tcBorders>
              <w:top w:val="single" w:color="auto" w:sz="4" w:space="0"/>
              <w:left w:val="nil"/>
              <w:bottom w:val="single" w:color="auto" w:sz="4" w:space="0"/>
              <w:right w:val="single" w:color="auto" w:sz="4" w:space="0"/>
            </w:tcBorders>
            <w:shd w:val="clear" w:color="000000" w:fill="C0C0C0"/>
            <w:vAlign w:val="center"/>
          </w:tcPr>
          <w:p w14:paraId="3B718ACE">
            <w:pPr>
              <w:widowControl/>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供货单位</w:t>
            </w:r>
          </w:p>
        </w:tc>
        <w:tc>
          <w:tcPr>
            <w:tcW w:w="813" w:type="dxa"/>
            <w:tcBorders>
              <w:top w:val="single" w:color="auto" w:sz="4" w:space="0"/>
              <w:left w:val="nil"/>
              <w:bottom w:val="single" w:color="auto" w:sz="4" w:space="0"/>
              <w:right w:val="single" w:color="auto" w:sz="4" w:space="0"/>
            </w:tcBorders>
            <w:shd w:val="clear" w:color="000000" w:fill="C0C0C0"/>
            <w:vAlign w:val="center"/>
          </w:tcPr>
          <w:p w14:paraId="6AD54B48">
            <w:pPr>
              <w:widowControl/>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数量</w:t>
            </w:r>
          </w:p>
        </w:tc>
        <w:tc>
          <w:tcPr>
            <w:tcW w:w="862" w:type="dxa"/>
            <w:tcBorders>
              <w:top w:val="single" w:color="auto" w:sz="4" w:space="0"/>
              <w:left w:val="nil"/>
              <w:bottom w:val="single" w:color="auto" w:sz="4" w:space="0"/>
              <w:right w:val="single" w:color="auto" w:sz="4" w:space="0"/>
            </w:tcBorders>
            <w:shd w:val="clear" w:color="000000" w:fill="C0C0C0"/>
            <w:vAlign w:val="center"/>
          </w:tcPr>
          <w:p w14:paraId="462851CC">
            <w:pPr>
              <w:widowControl/>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单位</w:t>
            </w:r>
          </w:p>
        </w:tc>
      </w:tr>
      <w:tr w14:paraId="0823AA19">
        <w:tblPrEx>
          <w:tblCellMar>
            <w:top w:w="0" w:type="dxa"/>
            <w:left w:w="108" w:type="dxa"/>
            <w:bottom w:w="0" w:type="dxa"/>
            <w:right w:w="108" w:type="dxa"/>
          </w:tblCellMar>
        </w:tblPrEx>
        <w:trPr>
          <w:trHeight w:val="312" w:hRule="atLeast"/>
        </w:trPr>
        <w:tc>
          <w:tcPr>
            <w:tcW w:w="562" w:type="dxa"/>
            <w:tcBorders>
              <w:top w:val="nil"/>
              <w:left w:val="single" w:color="auto" w:sz="4" w:space="0"/>
              <w:bottom w:val="single" w:color="auto" w:sz="4" w:space="0"/>
              <w:right w:val="single" w:color="auto" w:sz="4" w:space="0"/>
            </w:tcBorders>
            <w:shd w:val="clear" w:color="000000" w:fill="C0C0C0"/>
            <w:vAlign w:val="center"/>
          </w:tcPr>
          <w:p w14:paraId="52326AF5">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p>
        </w:tc>
        <w:tc>
          <w:tcPr>
            <w:tcW w:w="1866" w:type="dxa"/>
            <w:tcBorders>
              <w:top w:val="nil"/>
              <w:left w:val="nil"/>
              <w:bottom w:val="single" w:color="auto" w:sz="4" w:space="0"/>
              <w:right w:val="single" w:color="auto" w:sz="4" w:space="0"/>
            </w:tcBorders>
            <w:vAlign w:val="center"/>
          </w:tcPr>
          <w:p w14:paraId="0CA63AD7">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端设备</w:t>
            </w:r>
          </w:p>
        </w:tc>
        <w:tc>
          <w:tcPr>
            <w:tcW w:w="3359" w:type="dxa"/>
            <w:tcBorders>
              <w:top w:val="nil"/>
              <w:left w:val="nil"/>
              <w:bottom w:val="single" w:color="auto" w:sz="4" w:space="0"/>
              <w:right w:val="single" w:color="auto" w:sz="4" w:space="0"/>
            </w:tcBorders>
            <w:vAlign w:val="center"/>
          </w:tcPr>
          <w:p w14:paraId="7FD5B1B2">
            <w:pPr>
              <w:widowControl/>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JKD1000</w:t>
            </w:r>
          </w:p>
        </w:tc>
        <w:tc>
          <w:tcPr>
            <w:tcW w:w="1600" w:type="dxa"/>
            <w:tcBorders>
              <w:top w:val="nil"/>
              <w:left w:val="nil"/>
              <w:bottom w:val="single" w:color="auto" w:sz="4" w:space="0"/>
              <w:right w:val="single" w:color="auto" w:sz="4" w:space="0"/>
            </w:tcBorders>
            <w:vAlign w:val="center"/>
          </w:tcPr>
          <w:p w14:paraId="6DDBC881">
            <w:pPr>
              <w:widowControl/>
              <w:ind w:firstLine="210" w:firstLineChars="10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投标方</w:t>
            </w:r>
          </w:p>
        </w:tc>
        <w:tc>
          <w:tcPr>
            <w:tcW w:w="813" w:type="dxa"/>
            <w:tcBorders>
              <w:top w:val="nil"/>
              <w:left w:val="nil"/>
              <w:bottom w:val="single" w:color="auto" w:sz="4" w:space="0"/>
              <w:right w:val="single" w:color="auto" w:sz="4" w:space="0"/>
            </w:tcBorders>
            <w:vAlign w:val="center"/>
          </w:tcPr>
          <w:p w14:paraId="19C50AB5">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p>
        </w:tc>
        <w:tc>
          <w:tcPr>
            <w:tcW w:w="862" w:type="dxa"/>
            <w:tcBorders>
              <w:top w:val="nil"/>
              <w:left w:val="nil"/>
              <w:bottom w:val="single" w:color="auto" w:sz="4" w:space="0"/>
              <w:right w:val="single" w:color="auto" w:sz="4" w:space="0"/>
            </w:tcBorders>
            <w:vAlign w:val="center"/>
          </w:tcPr>
          <w:p w14:paraId="0A93D2E1">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台</w:t>
            </w:r>
          </w:p>
        </w:tc>
      </w:tr>
      <w:tr w14:paraId="7FC5E880">
        <w:tblPrEx>
          <w:tblCellMar>
            <w:top w:w="0" w:type="dxa"/>
            <w:left w:w="108" w:type="dxa"/>
            <w:bottom w:w="0" w:type="dxa"/>
            <w:right w:w="108" w:type="dxa"/>
          </w:tblCellMar>
        </w:tblPrEx>
        <w:trPr>
          <w:trHeight w:val="312" w:hRule="atLeast"/>
        </w:trPr>
        <w:tc>
          <w:tcPr>
            <w:tcW w:w="562" w:type="dxa"/>
            <w:tcBorders>
              <w:top w:val="nil"/>
              <w:left w:val="single" w:color="auto" w:sz="4" w:space="0"/>
              <w:bottom w:val="single" w:color="auto" w:sz="4" w:space="0"/>
              <w:right w:val="single" w:color="auto" w:sz="4" w:space="0"/>
            </w:tcBorders>
            <w:shd w:val="clear" w:color="000000" w:fill="C0C0C0"/>
            <w:vAlign w:val="center"/>
          </w:tcPr>
          <w:p w14:paraId="52FF4B04">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w:t>
            </w:r>
          </w:p>
        </w:tc>
        <w:tc>
          <w:tcPr>
            <w:tcW w:w="1866" w:type="dxa"/>
            <w:tcBorders>
              <w:top w:val="nil"/>
              <w:left w:val="nil"/>
              <w:bottom w:val="single" w:color="auto" w:sz="4" w:space="0"/>
              <w:right w:val="single" w:color="auto" w:sz="4" w:space="0"/>
            </w:tcBorders>
            <w:vAlign w:val="center"/>
          </w:tcPr>
          <w:p w14:paraId="6402F4CB">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显示器</w:t>
            </w:r>
          </w:p>
        </w:tc>
        <w:tc>
          <w:tcPr>
            <w:tcW w:w="3359" w:type="dxa"/>
            <w:tcBorders>
              <w:top w:val="nil"/>
              <w:left w:val="nil"/>
              <w:bottom w:val="single" w:color="auto" w:sz="4" w:space="0"/>
              <w:right w:val="single" w:color="auto" w:sz="4" w:space="0"/>
            </w:tcBorders>
            <w:shd w:val="clear" w:color="000000" w:fill="FFFFFF"/>
            <w:vAlign w:val="center"/>
          </w:tcPr>
          <w:p w14:paraId="3F03B309">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DELL 32寸宽屏</w:t>
            </w:r>
          </w:p>
        </w:tc>
        <w:tc>
          <w:tcPr>
            <w:tcW w:w="1600" w:type="dxa"/>
            <w:tcBorders>
              <w:top w:val="nil"/>
              <w:left w:val="nil"/>
              <w:bottom w:val="single" w:color="auto" w:sz="4" w:space="0"/>
              <w:right w:val="single" w:color="auto" w:sz="4" w:space="0"/>
            </w:tcBorders>
            <w:vAlign w:val="center"/>
          </w:tcPr>
          <w:p w14:paraId="09D1BEA3">
            <w:pPr>
              <w:widowControl/>
              <w:ind w:firstLine="210" w:firstLineChars="10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投标方</w:t>
            </w:r>
          </w:p>
        </w:tc>
        <w:tc>
          <w:tcPr>
            <w:tcW w:w="813" w:type="dxa"/>
            <w:tcBorders>
              <w:top w:val="nil"/>
              <w:left w:val="nil"/>
              <w:bottom w:val="single" w:color="auto" w:sz="4" w:space="0"/>
              <w:right w:val="single" w:color="auto" w:sz="4" w:space="0"/>
            </w:tcBorders>
            <w:vAlign w:val="center"/>
          </w:tcPr>
          <w:p w14:paraId="6177C831">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p>
        </w:tc>
        <w:tc>
          <w:tcPr>
            <w:tcW w:w="862" w:type="dxa"/>
            <w:tcBorders>
              <w:top w:val="nil"/>
              <w:left w:val="nil"/>
              <w:bottom w:val="single" w:color="auto" w:sz="4" w:space="0"/>
              <w:right w:val="single" w:color="auto" w:sz="4" w:space="0"/>
            </w:tcBorders>
            <w:vAlign w:val="center"/>
          </w:tcPr>
          <w:p w14:paraId="7C42707A">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台</w:t>
            </w:r>
          </w:p>
        </w:tc>
      </w:tr>
      <w:tr w14:paraId="1223F0EB">
        <w:tblPrEx>
          <w:tblCellMar>
            <w:top w:w="0" w:type="dxa"/>
            <w:left w:w="108" w:type="dxa"/>
            <w:bottom w:w="0" w:type="dxa"/>
            <w:right w:w="108" w:type="dxa"/>
          </w:tblCellMar>
        </w:tblPrEx>
        <w:trPr>
          <w:trHeight w:val="312" w:hRule="atLeast"/>
        </w:trPr>
        <w:tc>
          <w:tcPr>
            <w:tcW w:w="562" w:type="dxa"/>
            <w:tcBorders>
              <w:top w:val="nil"/>
              <w:left w:val="single" w:color="auto" w:sz="4" w:space="0"/>
              <w:bottom w:val="single" w:color="auto" w:sz="4" w:space="0"/>
              <w:right w:val="single" w:color="auto" w:sz="4" w:space="0"/>
            </w:tcBorders>
            <w:shd w:val="clear" w:color="000000" w:fill="C0C0C0"/>
            <w:vAlign w:val="center"/>
          </w:tcPr>
          <w:p w14:paraId="1B0D3A89">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w:t>
            </w:r>
          </w:p>
        </w:tc>
        <w:tc>
          <w:tcPr>
            <w:tcW w:w="1866" w:type="dxa"/>
            <w:tcBorders>
              <w:top w:val="nil"/>
              <w:left w:val="nil"/>
              <w:bottom w:val="single" w:color="auto" w:sz="4" w:space="0"/>
              <w:right w:val="single" w:color="auto" w:sz="4" w:space="0"/>
            </w:tcBorders>
            <w:vAlign w:val="center"/>
          </w:tcPr>
          <w:p w14:paraId="76371632">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能耗在线监测系统</w:t>
            </w:r>
          </w:p>
        </w:tc>
        <w:tc>
          <w:tcPr>
            <w:tcW w:w="3359" w:type="dxa"/>
            <w:tcBorders>
              <w:top w:val="nil"/>
              <w:left w:val="nil"/>
              <w:bottom w:val="single" w:color="auto" w:sz="4" w:space="0"/>
              <w:right w:val="single" w:color="auto" w:sz="4" w:space="0"/>
            </w:tcBorders>
            <w:vAlign w:val="center"/>
          </w:tcPr>
          <w:p w14:paraId="61826878">
            <w:pPr>
              <w:widowControl/>
              <w:ind w:firstLine="1050" w:firstLineChars="5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监测软件</w:t>
            </w:r>
          </w:p>
        </w:tc>
        <w:tc>
          <w:tcPr>
            <w:tcW w:w="1600" w:type="dxa"/>
            <w:tcBorders>
              <w:top w:val="nil"/>
              <w:left w:val="nil"/>
              <w:bottom w:val="single" w:color="auto" w:sz="4" w:space="0"/>
              <w:right w:val="single" w:color="auto" w:sz="4" w:space="0"/>
            </w:tcBorders>
            <w:vAlign w:val="center"/>
          </w:tcPr>
          <w:p w14:paraId="7E9518FC">
            <w:pPr>
              <w:widowControl/>
              <w:ind w:firstLine="210" w:firstLineChars="10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投标方</w:t>
            </w:r>
          </w:p>
        </w:tc>
        <w:tc>
          <w:tcPr>
            <w:tcW w:w="813" w:type="dxa"/>
            <w:tcBorders>
              <w:top w:val="nil"/>
              <w:left w:val="nil"/>
              <w:bottom w:val="single" w:color="auto" w:sz="4" w:space="0"/>
              <w:right w:val="single" w:color="auto" w:sz="4" w:space="0"/>
            </w:tcBorders>
            <w:vAlign w:val="center"/>
          </w:tcPr>
          <w:p w14:paraId="393290A0">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p>
        </w:tc>
        <w:tc>
          <w:tcPr>
            <w:tcW w:w="862" w:type="dxa"/>
            <w:tcBorders>
              <w:top w:val="nil"/>
              <w:left w:val="nil"/>
              <w:bottom w:val="single" w:color="auto" w:sz="4" w:space="0"/>
              <w:right w:val="single" w:color="auto" w:sz="4" w:space="0"/>
            </w:tcBorders>
            <w:vAlign w:val="center"/>
          </w:tcPr>
          <w:p w14:paraId="582BF158">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套</w:t>
            </w:r>
          </w:p>
        </w:tc>
      </w:tr>
      <w:tr w14:paraId="5C6941C1">
        <w:tblPrEx>
          <w:tblCellMar>
            <w:top w:w="0" w:type="dxa"/>
            <w:left w:w="108" w:type="dxa"/>
            <w:bottom w:w="0" w:type="dxa"/>
            <w:right w:w="108" w:type="dxa"/>
          </w:tblCellMar>
        </w:tblPrEx>
        <w:trPr>
          <w:trHeight w:val="601" w:hRule="atLeast"/>
        </w:trPr>
        <w:tc>
          <w:tcPr>
            <w:tcW w:w="562" w:type="dxa"/>
            <w:tcBorders>
              <w:top w:val="nil"/>
              <w:left w:val="single" w:color="auto" w:sz="4" w:space="0"/>
              <w:bottom w:val="single" w:color="auto" w:sz="4" w:space="0"/>
              <w:right w:val="single" w:color="auto" w:sz="4" w:space="0"/>
            </w:tcBorders>
            <w:shd w:val="clear" w:color="000000" w:fill="C0C0C0"/>
            <w:vAlign w:val="center"/>
          </w:tcPr>
          <w:p w14:paraId="3ACE658A">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w:t>
            </w:r>
          </w:p>
        </w:tc>
        <w:tc>
          <w:tcPr>
            <w:tcW w:w="1866" w:type="dxa"/>
            <w:tcBorders>
              <w:top w:val="nil"/>
              <w:left w:val="nil"/>
              <w:bottom w:val="single" w:color="auto" w:sz="4" w:space="0"/>
              <w:right w:val="single" w:color="auto" w:sz="4" w:space="0"/>
            </w:tcBorders>
            <w:vAlign w:val="center"/>
          </w:tcPr>
          <w:p w14:paraId="134473AB">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网闸</w:t>
            </w:r>
          </w:p>
        </w:tc>
        <w:tc>
          <w:tcPr>
            <w:tcW w:w="3359" w:type="dxa"/>
            <w:tcBorders>
              <w:top w:val="nil"/>
              <w:left w:val="nil"/>
              <w:bottom w:val="single" w:color="auto" w:sz="4" w:space="0"/>
              <w:right w:val="single" w:color="auto" w:sz="4" w:space="0"/>
            </w:tcBorders>
            <w:vAlign w:val="center"/>
          </w:tcPr>
          <w:p w14:paraId="671BF112">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color w:val="000000"/>
                <w:szCs w:val="21"/>
                <w:shd w:val="clear" w:color="auto" w:fill="FFFFFF"/>
              </w:rPr>
              <w:t>产品符合国标28181/DB33;具有知识产权的国产设备，采用硬隔离</w:t>
            </w:r>
          </w:p>
        </w:tc>
        <w:tc>
          <w:tcPr>
            <w:tcW w:w="1600" w:type="dxa"/>
            <w:tcBorders>
              <w:top w:val="nil"/>
              <w:left w:val="nil"/>
              <w:bottom w:val="single" w:color="auto" w:sz="4" w:space="0"/>
              <w:right w:val="single" w:color="auto" w:sz="4" w:space="0"/>
            </w:tcBorders>
            <w:vAlign w:val="center"/>
          </w:tcPr>
          <w:p w14:paraId="290E3B75">
            <w:pPr>
              <w:widowControl/>
              <w:ind w:firstLine="210" w:firstLineChars="10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投标方</w:t>
            </w:r>
          </w:p>
        </w:tc>
        <w:tc>
          <w:tcPr>
            <w:tcW w:w="813" w:type="dxa"/>
            <w:tcBorders>
              <w:top w:val="nil"/>
              <w:left w:val="nil"/>
              <w:bottom w:val="single" w:color="auto" w:sz="4" w:space="0"/>
              <w:right w:val="single" w:color="auto" w:sz="4" w:space="0"/>
            </w:tcBorders>
            <w:vAlign w:val="center"/>
          </w:tcPr>
          <w:p w14:paraId="35DF9BAC">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p>
        </w:tc>
        <w:tc>
          <w:tcPr>
            <w:tcW w:w="862" w:type="dxa"/>
            <w:tcBorders>
              <w:top w:val="nil"/>
              <w:left w:val="nil"/>
              <w:bottom w:val="single" w:color="auto" w:sz="4" w:space="0"/>
              <w:right w:val="single" w:color="auto" w:sz="4" w:space="0"/>
            </w:tcBorders>
            <w:vAlign w:val="center"/>
          </w:tcPr>
          <w:p w14:paraId="13495138">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台</w:t>
            </w:r>
          </w:p>
        </w:tc>
      </w:tr>
      <w:tr w14:paraId="252D41A2">
        <w:tblPrEx>
          <w:tblCellMar>
            <w:top w:w="0" w:type="dxa"/>
            <w:left w:w="108" w:type="dxa"/>
            <w:bottom w:w="0" w:type="dxa"/>
            <w:right w:w="108" w:type="dxa"/>
          </w:tblCellMar>
        </w:tblPrEx>
        <w:trPr>
          <w:trHeight w:val="312" w:hRule="atLeast"/>
        </w:trPr>
        <w:tc>
          <w:tcPr>
            <w:tcW w:w="562" w:type="dxa"/>
            <w:tcBorders>
              <w:top w:val="nil"/>
              <w:left w:val="single" w:color="auto" w:sz="4" w:space="0"/>
              <w:bottom w:val="single" w:color="auto" w:sz="4" w:space="0"/>
              <w:right w:val="single" w:color="auto" w:sz="4" w:space="0"/>
            </w:tcBorders>
            <w:shd w:val="clear" w:color="000000" w:fill="C0C0C0"/>
            <w:vAlign w:val="center"/>
          </w:tcPr>
          <w:p w14:paraId="5C360B0F">
            <w:pPr>
              <w:widowControl/>
              <w:jc w:val="center"/>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5</w:t>
            </w:r>
          </w:p>
        </w:tc>
        <w:tc>
          <w:tcPr>
            <w:tcW w:w="1866" w:type="dxa"/>
            <w:tcBorders>
              <w:top w:val="nil"/>
              <w:left w:val="nil"/>
              <w:bottom w:val="single" w:color="auto" w:sz="4" w:space="0"/>
              <w:right w:val="single" w:color="auto" w:sz="4" w:space="0"/>
            </w:tcBorders>
            <w:vAlign w:val="center"/>
          </w:tcPr>
          <w:p w14:paraId="226A965C">
            <w:pPr>
              <w:widowControl/>
              <w:jc w:val="center"/>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防火墙</w:t>
            </w:r>
          </w:p>
        </w:tc>
        <w:tc>
          <w:tcPr>
            <w:tcW w:w="3359" w:type="dxa"/>
            <w:tcBorders>
              <w:top w:val="nil"/>
              <w:left w:val="nil"/>
              <w:bottom w:val="single" w:color="auto" w:sz="4" w:space="0"/>
              <w:right w:val="single" w:color="auto" w:sz="4" w:space="0"/>
            </w:tcBorders>
            <w:vAlign w:val="center"/>
          </w:tcPr>
          <w:p w14:paraId="293E67BE">
            <w:pPr>
              <w:widowControl/>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D-LINK</w:t>
            </w:r>
          </w:p>
        </w:tc>
        <w:tc>
          <w:tcPr>
            <w:tcW w:w="1600" w:type="dxa"/>
            <w:tcBorders>
              <w:top w:val="nil"/>
              <w:left w:val="nil"/>
              <w:bottom w:val="single" w:color="auto" w:sz="4" w:space="0"/>
              <w:right w:val="single" w:color="auto" w:sz="4" w:space="0"/>
            </w:tcBorders>
            <w:vAlign w:val="center"/>
          </w:tcPr>
          <w:p w14:paraId="0721CB6C">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投标方</w:t>
            </w:r>
          </w:p>
        </w:tc>
        <w:tc>
          <w:tcPr>
            <w:tcW w:w="813" w:type="dxa"/>
            <w:tcBorders>
              <w:top w:val="nil"/>
              <w:left w:val="nil"/>
              <w:bottom w:val="single" w:color="auto" w:sz="4" w:space="0"/>
              <w:right w:val="single" w:color="auto" w:sz="4" w:space="0"/>
            </w:tcBorders>
            <w:vAlign w:val="center"/>
          </w:tcPr>
          <w:p w14:paraId="40C37D90">
            <w:pPr>
              <w:widowControl/>
              <w:jc w:val="center"/>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1</w:t>
            </w:r>
          </w:p>
        </w:tc>
        <w:tc>
          <w:tcPr>
            <w:tcW w:w="862" w:type="dxa"/>
            <w:tcBorders>
              <w:top w:val="nil"/>
              <w:left w:val="nil"/>
              <w:bottom w:val="single" w:color="auto" w:sz="4" w:space="0"/>
              <w:right w:val="single" w:color="auto" w:sz="4" w:space="0"/>
            </w:tcBorders>
            <w:vAlign w:val="center"/>
          </w:tcPr>
          <w:p w14:paraId="1D1A06D2">
            <w:pPr>
              <w:widowControl/>
              <w:jc w:val="center"/>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个</w:t>
            </w:r>
          </w:p>
        </w:tc>
      </w:tr>
      <w:tr w14:paraId="588374CD">
        <w:tblPrEx>
          <w:tblCellMar>
            <w:top w:w="0" w:type="dxa"/>
            <w:left w:w="108" w:type="dxa"/>
            <w:bottom w:w="0" w:type="dxa"/>
            <w:right w:w="108" w:type="dxa"/>
          </w:tblCellMar>
        </w:tblPrEx>
        <w:trPr>
          <w:trHeight w:val="312" w:hRule="atLeast"/>
        </w:trPr>
        <w:tc>
          <w:tcPr>
            <w:tcW w:w="562" w:type="dxa"/>
            <w:tcBorders>
              <w:top w:val="nil"/>
              <w:left w:val="single" w:color="auto" w:sz="4" w:space="0"/>
              <w:bottom w:val="single" w:color="auto" w:sz="4" w:space="0"/>
              <w:right w:val="single" w:color="auto" w:sz="4" w:space="0"/>
            </w:tcBorders>
            <w:shd w:val="clear" w:color="000000" w:fill="C0C0C0"/>
            <w:vAlign w:val="center"/>
          </w:tcPr>
          <w:p w14:paraId="065EAD85">
            <w:pPr>
              <w:widowControl/>
              <w:jc w:val="center"/>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6</w:t>
            </w:r>
          </w:p>
        </w:tc>
        <w:tc>
          <w:tcPr>
            <w:tcW w:w="1866" w:type="dxa"/>
            <w:tcBorders>
              <w:top w:val="nil"/>
              <w:left w:val="nil"/>
              <w:bottom w:val="single" w:color="auto" w:sz="4" w:space="0"/>
              <w:right w:val="single" w:color="auto" w:sz="4" w:space="0"/>
            </w:tcBorders>
            <w:vAlign w:val="center"/>
          </w:tcPr>
          <w:p w14:paraId="4F4F6BB7">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电力标准机柜</w:t>
            </w:r>
          </w:p>
        </w:tc>
        <w:tc>
          <w:tcPr>
            <w:tcW w:w="3359" w:type="dxa"/>
            <w:tcBorders>
              <w:top w:val="nil"/>
              <w:left w:val="nil"/>
              <w:bottom w:val="single" w:color="auto" w:sz="4" w:space="0"/>
              <w:right w:val="single" w:color="auto" w:sz="4" w:space="0"/>
            </w:tcBorders>
            <w:vAlign w:val="center"/>
          </w:tcPr>
          <w:p w14:paraId="008C7315">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600" w:type="dxa"/>
            <w:tcBorders>
              <w:top w:val="nil"/>
              <w:left w:val="nil"/>
              <w:bottom w:val="single" w:color="auto" w:sz="4" w:space="0"/>
              <w:right w:val="single" w:color="auto" w:sz="4" w:space="0"/>
            </w:tcBorders>
            <w:vAlign w:val="center"/>
          </w:tcPr>
          <w:p w14:paraId="5AC2A861">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投标方</w:t>
            </w:r>
          </w:p>
        </w:tc>
        <w:tc>
          <w:tcPr>
            <w:tcW w:w="813" w:type="dxa"/>
            <w:tcBorders>
              <w:top w:val="nil"/>
              <w:left w:val="nil"/>
              <w:bottom w:val="single" w:color="auto" w:sz="4" w:space="0"/>
              <w:right w:val="single" w:color="auto" w:sz="4" w:space="0"/>
            </w:tcBorders>
            <w:vAlign w:val="center"/>
          </w:tcPr>
          <w:p w14:paraId="1C24A479">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p>
        </w:tc>
        <w:tc>
          <w:tcPr>
            <w:tcW w:w="862" w:type="dxa"/>
            <w:tcBorders>
              <w:top w:val="nil"/>
              <w:left w:val="nil"/>
              <w:bottom w:val="single" w:color="auto" w:sz="4" w:space="0"/>
              <w:right w:val="single" w:color="auto" w:sz="4" w:space="0"/>
            </w:tcBorders>
            <w:vAlign w:val="center"/>
          </w:tcPr>
          <w:p w14:paraId="65302BC2">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台</w:t>
            </w:r>
          </w:p>
        </w:tc>
      </w:tr>
      <w:tr w14:paraId="4350C00F">
        <w:tblPrEx>
          <w:tblCellMar>
            <w:top w:w="0" w:type="dxa"/>
            <w:left w:w="108" w:type="dxa"/>
            <w:bottom w:w="0" w:type="dxa"/>
            <w:right w:w="108" w:type="dxa"/>
          </w:tblCellMar>
        </w:tblPrEx>
        <w:trPr>
          <w:trHeight w:val="1126" w:hRule="atLeast"/>
        </w:trPr>
        <w:tc>
          <w:tcPr>
            <w:tcW w:w="562" w:type="dxa"/>
            <w:tcBorders>
              <w:top w:val="nil"/>
              <w:left w:val="single" w:color="auto" w:sz="4" w:space="0"/>
              <w:bottom w:val="single" w:color="auto" w:sz="4" w:space="0"/>
              <w:right w:val="single" w:color="auto" w:sz="4" w:space="0"/>
            </w:tcBorders>
            <w:shd w:val="clear" w:color="000000" w:fill="C0C0C0"/>
            <w:vAlign w:val="center"/>
          </w:tcPr>
          <w:p w14:paraId="59008A16">
            <w:pPr>
              <w:widowControl/>
              <w:jc w:val="center"/>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7</w:t>
            </w:r>
          </w:p>
        </w:tc>
        <w:tc>
          <w:tcPr>
            <w:tcW w:w="1866" w:type="dxa"/>
            <w:tcBorders>
              <w:top w:val="nil"/>
              <w:left w:val="nil"/>
              <w:bottom w:val="single" w:color="auto" w:sz="4" w:space="0"/>
              <w:right w:val="single" w:color="auto" w:sz="4" w:space="0"/>
            </w:tcBorders>
            <w:vAlign w:val="center"/>
          </w:tcPr>
          <w:p w14:paraId="2F8F13E2">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能耗在线监测软件调试费</w:t>
            </w:r>
          </w:p>
        </w:tc>
        <w:tc>
          <w:tcPr>
            <w:tcW w:w="3359" w:type="dxa"/>
            <w:tcBorders>
              <w:top w:val="nil"/>
              <w:left w:val="nil"/>
              <w:bottom w:val="single" w:color="auto" w:sz="4" w:space="0"/>
              <w:right w:val="single" w:color="auto" w:sz="4" w:space="0"/>
            </w:tcBorders>
            <w:vAlign w:val="center"/>
          </w:tcPr>
          <w:p w14:paraId="67C95D66">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含画面编辑器、数据库管理、通讯前置单元、报警模块、报表打印模块、数据上传模块等</w:t>
            </w:r>
          </w:p>
        </w:tc>
        <w:tc>
          <w:tcPr>
            <w:tcW w:w="1600" w:type="dxa"/>
            <w:tcBorders>
              <w:top w:val="nil"/>
              <w:left w:val="nil"/>
              <w:bottom w:val="single" w:color="auto" w:sz="4" w:space="0"/>
              <w:right w:val="single" w:color="auto" w:sz="4" w:space="0"/>
            </w:tcBorders>
            <w:vAlign w:val="center"/>
          </w:tcPr>
          <w:p w14:paraId="667FF90C">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投标方</w:t>
            </w:r>
          </w:p>
        </w:tc>
        <w:tc>
          <w:tcPr>
            <w:tcW w:w="813" w:type="dxa"/>
            <w:tcBorders>
              <w:top w:val="nil"/>
              <w:left w:val="nil"/>
              <w:bottom w:val="single" w:color="auto" w:sz="4" w:space="0"/>
              <w:right w:val="single" w:color="auto" w:sz="4" w:space="0"/>
            </w:tcBorders>
            <w:vAlign w:val="center"/>
          </w:tcPr>
          <w:p w14:paraId="1EB3CBAC">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p>
        </w:tc>
        <w:tc>
          <w:tcPr>
            <w:tcW w:w="862" w:type="dxa"/>
            <w:tcBorders>
              <w:top w:val="nil"/>
              <w:left w:val="nil"/>
              <w:bottom w:val="single" w:color="auto" w:sz="4" w:space="0"/>
              <w:right w:val="single" w:color="auto" w:sz="4" w:space="0"/>
            </w:tcBorders>
            <w:vAlign w:val="center"/>
          </w:tcPr>
          <w:p w14:paraId="57FB6F62">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套</w:t>
            </w:r>
          </w:p>
        </w:tc>
      </w:tr>
      <w:tr w14:paraId="1CD7262C">
        <w:tblPrEx>
          <w:tblCellMar>
            <w:top w:w="0" w:type="dxa"/>
            <w:left w:w="108" w:type="dxa"/>
            <w:bottom w:w="0" w:type="dxa"/>
            <w:right w:w="108" w:type="dxa"/>
          </w:tblCellMar>
        </w:tblPrEx>
        <w:trPr>
          <w:trHeight w:val="312" w:hRule="atLeast"/>
        </w:trPr>
        <w:tc>
          <w:tcPr>
            <w:tcW w:w="562" w:type="dxa"/>
            <w:tcBorders>
              <w:top w:val="nil"/>
              <w:left w:val="single" w:color="auto" w:sz="4" w:space="0"/>
              <w:bottom w:val="single" w:color="auto" w:sz="4" w:space="0"/>
              <w:right w:val="single" w:color="auto" w:sz="4" w:space="0"/>
            </w:tcBorders>
            <w:shd w:val="clear" w:color="000000" w:fill="C0C0C0"/>
            <w:vAlign w:val="center"/>
          </w:tcPr>
          <w:p w14:paraId="4B66215F">
            <w:pPr>
              <w:widowControl/>
              <w:jc w:val="center"/>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8</w:t>
            </w:r>
          </w:p>
        </w:tc>
        <w:tc>
          <w:tcPr>
            <w:tcW w:w="1866" w:type="dxa"/>
            <w:tcBorders>
              <w:top w:val="single" w:color="auto" w:sz="4" w:space="0"/>
              <w:left w:val="nil"/>
              <w:bottom w:val="single" w:color="auto" w:sz="4" w:space="0"/>
              <w:right w:val="single" w:color="auto" w:sz="4" w:space="0"/>
            </w:tcBorders>
            <w:vAlign w:val="center"/>
          </w:tcPr>
          <w:p w14:paraId="72C31AC3">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MIS系统对接费用</w:t>
            </w:r>
          </w:p>
        </w:tc>
        <w:tc>
          <w:tcPr>
            <w:tcW w:w="3359" w:type="dxa"/>
            <w:tcBorders>
              <w:top w:val="single" w:color="auto" w:sz="4" w:space="0"/>
              <w:left w:val="single" w:color="auto" w:sz="4" w:space="0"/>
              <w:bottom w:val="single" w:color="auto" w:sz="4" w:space="0"/>
              <w:right w:val="single" w:color="000000" w:sz="4" w:space="0"/>
            </w:tcBorders>
            <w:vAlign w:val="center"/>
          </w:tcPr>
          <w:p w14:paraId="6354540B">
            <w:pPr>
              <w:widowControl/>
              <w:jc w:val="center"/>
              <w:rPr>
                <w:rFonts w:hint="default"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南京朗坤</w:t>
            </w:r>
          </w:p>
        </w:tc>
        <w:tc>
          <w:tcPr>
            <w:tcW w:w="1600" w:type="dxa"/>
            <w:tcBorders>
              <w:top w:val="nil"/>
              <w:left w:val="nil"/>
              <w:bottom w:val="single" w:color="auto" w:sz="4" w:space="0"/>
              <w:right w:val="single" w:color="auto" w:sz="4" w:space="0"/>
            </w:tcBorders>
            <w:vAlign w:val="center"/>
          </w:tcPr>
          <w:p w14:paraId="6D47F45C">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投标方</w:t>
            </w:r>
          </w:p>
        </w:tc>
        <w:tc>
          <w:tcPr>
            <w:tcW w:w="813" w:type="dxa"/>
            <w:tcBorders>
              <w:top w:val="nil"/>
              <w:left w:val="nil"/>
              <w:bottom w:val="single" w:color="auto" w:sz="4" w:space="0"/>
              <w:right w:val="single" w:color="auto" w:sz="4" w:space="0"/>
            </w:tcBorders>
            <w:vAlign w:val="center"/>
          </w:tcPr>
          <w:p w14:paraId="28CE0255">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p>
        </w:tc>
        <w:tc>
          <w:tcPr>
            <w:tcW w:w="862" w:type="dxa"/>
            <w:tcBorders>
              <w:top w:val="nil"/>
              <w:left w:val="nil"/>
              <w:bottom w:val="single" w:color="auto" w:sz="4" w:space="0"/>
              <w:right w:val="single" w:color="auto" w:sz="4" w:space="0"/>
            </w:tcBorders>
            <w:vAlign w:val="center"/>
          </w:tcPr>
          <w:p w14:paraId="093CE6E7">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套</w:t>
            </w:r>
          </w:p>
        </w:tc>
      </w:tr>
      <w:tr w14:paraId="41BC6F32">
        <w:tblPrEx>
          <w:tblCellMar>
            <w:top w:w="0" w:type="dxa"/>
            <w:left w:w="108" w:type="dxa"/>
            <w:bottom w:w="0" w:type="dxa"/>
            <w:right w:w="108" w:type="dxa"/>
          </w:tblCellMar>
        </w:tblPrEx>
        <w:trPr>
          <w:trHeight w:val="312" w:hRule="atLeast"/>
        </w:trPr>
        <w:tc>
          <w:tcPr>
            <w:tcW w:w="562" w:type="dxa"/>
            <w:tcBorders>
              <w:top w:val="nil"/>
              <w:left w:val="single" w:color="auto" w:sz="4" w:space="0"/>
              <w:bottom w:val="single" w:color="auto" w:sz="4" w:space="0"/>
              <w:right w:val="single" w:color="auto" w:sz="4" w:space="0"/>
            </w:tcBorders>
            <w:shd w:val="clear" w:color="000000" w:fill="C0C0C0"/>
            <w:vAlign w:val="center"/>
          </w:tcPr>
          <w:p w14:paraId="1B4C4BE1">
            <w:pPr>
              <w:widowControl/>
              <w:jc w:val="center"/>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9</w:t>
            </w:r>
          </w:p>
        </w:tc>
        <w:tc>
          <w:tcPr>
            <w:tcW w:w="1866" w:type="dxa"/>
            <w:tcBorders>
              <w:top w:val="nil"/>
              <w:left w:val="nil"/>
              <w:bottom w:val="single" w:color="auto" w:sz="4" w:space="0"/>
              <w:right w:val="single" w:color="auto" w:sz="4" w:space="0"/>
            </w:tcBorders>
            <w:vAlign w:val="center"/>
          </w:tcPr>
          <w:p w14:paraId="6BF4F88A">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网线</w:t>
            </w:r>
          </w:p>
        </w:tc>
        <w:tc>
          <w:tcPr>
            <w:tcW w:w="3359" w:type="dxa"/>
            <w:tcBorders>
              <w:top w:val="nil"/>
              <w:left w:val="single" w:color="auto" w:sz="4" w:space="0"/>
              <w:bottom w:val="single" w:color="auto" w:sz="4" w:space="0"/>
              <w:right w:val="single" w:color="auto" w:sz="4" w:space="0"/>
            </w:tcBorders>
            <w:vAlign w:val="center"/>
          </w:tcPr>
          <w:p w14:paraId="0032D68B">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超五类双绞线</w:t>
            </w:r>
          </w:p>
        </w:tc>
        <w:tc>
          <w:tcPr>
            <w:tcW w:w="1600" w:type="dxa"/>
            <w:tcBorders>
              <w:top w:val="nil"/>
              <w:left w:val="nil"/>
              <w:bottom w:val="single" w:color="auto" w:sz="4" w:space="0"/>
              <w:right w:val="single" w:color="auto" w:sz="4" w:space="0"/>
            </w:tcBorders>
            <w:vAlign w:val="center"/>
          </w:tcPr>
          <w:p w14:paraId="66CC31DF">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投标方</w:t>
            </w:r>
          </w:p>
        </w:tc>
        <w:tc>
          <w:tcPr>
            <w:tcW w:w="813" w:type="dxa"/>
            <w:tcBorders>
              <w:top w:val="nil"/>
              <w:left w:val="nil"/>
              <w:bottom w:val="single" w:color="auto" w:sz="4" w:space="0"/>
              <w:right w:val="single" w:color="auto" w:sz="4" w:space="0"/>
            </w:tcBorders>
            <w:vAlign w:val="center"/>
          </w:tcPr>
          <w:p w14:paraId="3D93E7A1">
            <w:pPr>
              <w:widowControl/>
              <w:jc w:val="center"/>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1</w:t>
            </w:r>
          </w:p>
        </w:tc>
        <w:tc>
          <w:tcPr>
            <w:tcW w:w="862" w:type="dxa"/>
            <w:tcBorders>
              <w:top w:val="nil"/>
              <w:left w:val="nil"/>
              <w:bottom w:val="single" w:color="auto" w:sz="4" w:space="0"/>
              <w:right w:val="single" w:color="auto" w:sz="4" w:space="0"/>
            </w:tcBorders>
            <w:vAlign w:val="center"/>
          </w:tcPr>
          <w:p w14:paraId="2BF74B96">
            <w:pPr>
              <w:widowControl/>
              <w:jc w:val="center"/>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lang w:val="en-US" w:eastAsia="zh-CN"/>
              </w:rPr>
              <w:t>批</w:t>
            </w:r>
          </w:p>
        </w:tc>
      </w:tr>
      <w:tr w14:paraId="00D5503A">
        <w:tblPrEx>
          <w:tblCellMar>
            <w:top w:w="0" w:type="dxa"/>
            <w:left w:w="108" w:type="dxa"/>
            <w:bottom w:w="0" w:type="dxa"/>
            <w:right w:w="108" w:type="dxa"/>
          </w:tblCellMar>
        </w:tblPrEx>
        <w:trPr>
          <w:trHeight w:val="312" w:hRule="atLeast"/>
        </w:trPr>
        <w:tc>
          <w:tcPr>
            <w:tcW w:w="562" w:type="dxa"/>
            <w:tcBorders>
              <w:top w:val="nil"/>
              <w:left w:val="single" w:color="auto" w:sz="4" w:space="0"/>
              <w:bottom w:val="single" w:color="auto" w:sz="4" w:space="0"/>
              <w:right w:val="single" w:color="auto" w:sz="4" w:space="0"/>
            </w:tcBorders>
            <w:shd w:val="clear" w:color="000000" w:fill="C0C0C0"/>
            <w:vAlign w:val="center"/>
          </w:tcPr>
          <w:p w14:paraId="3B8272B0">
            <w:pPr>
              <w:widowControl/>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10</w:t>
            </w:r>
          </w:p>
        </w:tc>
        <w:tc>
          <w:tcPr>
            <w:tcW w:w="1866" w:type="dxa"/>
            <w:tcBorders>
              <w:top w:val="nil"/>
              <w:left w:val="nil"/>
              <w:bottom w:val="single" w:color="auto" w:sz="4" w:space="0"/>
              <w:right w:val="single" w:color="auto" w:sz="4" w:space="0"/>
            </w:tcBorders>
            <w:vAlign w:val="center"/>
          </w:tcPr>
          <w:p w14:paraId="7F1F8906">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6孔电源插排</w:t>
            </w:r>
          </w:p>
        </w:tc>
        <w:tc>
          <w:tcPr>
            <w:tcW w:w="3359" w:type="dxa"/>
            <w:tcBorders>
              <w:top w:val="nil"/>
              <w:left w:val="nil"/>
              <w:bottom w:val="single" w:color="auto" w:sz="4" w:space="0"/>
              <w:right w:val="single" w:color="auto" w:sz="4" w:space="0"/>
            </w:tcBorders>
            <w:vAlign w:val="center"/>
          </w:tcPr>
          <w:p w14:paraId="4DF196B6">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公牛线长5米</w:t>
            </w:r>
          </w:p>
        </w:tc>
        <w:tc>
          <w:tcPr>
            <w:tcW w:w="1600" w:type="dxa"/>
            <w:tcBorders>
              <w:top w:val="nil"/>
              <w:left w:val="nil"/>
              <w:bottom w:val="single" w:color="auto" w:sz="4" w:space="0"/>
              <w:right w:val="single" w:color="auto" w:sz="4" w:space="0"/>
            </w:tcBorders>
            <w:vAlign w:val="center"/>
          </w:tcPr>
          <w:p w14:paraId="6E9071C1">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投标方</w:t>
            </w:r>
          </w:p>
        </w:tc>
        <w:tc>
          <w:tcPr>
            <w:tcW w:w="813" w:type="dxa"/>
            <w:tcBorders>
              <w:top w:val="nil"/>
              <w:left w:val="nil"/>
              <w:bottom w:val="single" w:color="auto" w:sz="4" w:space="0"/>
              <w:right w:val="single" w:color="auto" w:sz="4" w:space="0"/>
            </w:tcBorders>
            <w:vAlign w:val="center"/>
          </w:tcPr>
          <w:p w14:paraId="015E5BAD">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p>
        </w:tc>
        <w:tc>
          <w:tcPr>
            <w:tcW w:w="862" w:type="dxa"/>
            <w:tcBorders>
              <w:top w:val="nil"/>
              <w:left w:val="nil"/>
              <w:bottom w:val="single" w:color="auto" w:sz="4" w:space="0"/>
              <w:right w:val="single" w:color="auto" w:sz="4" w:space="0"/>
            </w:tcBorders>
            <w:vAlign w:val="center"/>
          </w:tcPr>
          <w:p w14:paraId="2BD7D083">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个</w:t>
            </w:r>
          </w:p>
        </w:tc>
      </w:tr>
    </w:tbl>
    <w:p w14:paraId="47A38B9D">
      <w:pPr>
        <w:spacing w:line="360" w:lineRule="auto"/>
        <w:rPr>
          <w:b/>
          <w:bCs/>
        </w:rPr>
      </w:pPr>
      <w:bookmarkStart w:id="11" w:name="_Toc24008137"/>
      <w:r>
        <w:rPr>
          <w:rFonts w:hint="eastAsia"/>
          <w:b/>
          <w:bCs/>
        </w:rPr>
        <w:t>四、工期要求</w:t>
      </w:r>
      <w:bookmarkEnd w:id="11"/>
    </w:p>
    <w:p w14:paraId="682FDDA0">
      <w:pPr>
        <w:pStyle w:val="48"/>
        <w:ind w:left="0" w:leftChars="0" w:firstLine="0" w:firstLineChars="0"/>
      </w:pPr>
      <w:r>
        <w:rPr>
          <w:rFonts w:hint="eastAsia"/>
        </w:rPr>
        <w:t>4.1施工准备阶段</w:t>
      </w:r>
    </w:p>
    <w:p w14:paraId="0F5629EE">
      <w:pPr>
        <w:spacing w:line="360" w:lineRule="auto"/>
        <w:ind w:firstLine="420" w:firstLineChars="200"/>
      </w:pPr>
      <w:r>
        <w:rPr>
          <w:rFonts w:hint="eastAsia"/>
        </w:rPr>
        <w:t>施工准备工作是整个施工生产的前提，根据本工程的内容和实际情况，公司以及项目部共同制定施工的准备计划，为工程顺利进展打下良好的基础。</w:t>
      </w:r>
    </w:p>
    <w:p w14:paraId="77934B07">
      <w:pPr>
        <w:spacing w:line="360" w:lineRule="auto"/>
        <w:ind w:firstLine="420" w:firstLineChars="200"/>
      </w:pPr>
      <w:r>
        <w:rPr>
          <w:rFonts w:hint="eastAsia"/>
        </w:rPr>
        <w:t>为实现本工程建设的优质、高效、安全、文明、低耗的目标而奋斗，本工程采用项目法施工的管理体制。</w:t>
      </w:r>
    </w:p>
    <w:p w14:paraId="68B234E4">
      <w:pPr>
        <w:pStyle w:val="48"/>
        <w:ind w:left="0" w:leftChars="0" w:firstLine="0" w:firstLineChars="0"/>
      </w:pPr>
      <w:r>
        <w:rPr>
          <w:rFonts w:hint="eastAsia"/>
        </w:rPr>
        <w:t>4.2</w:t>
      </w:r>
      <w:r>
        <w:t xml:space="preserve"> </w:t>
      </w:r>
      <w:r>
        <w:rPr>
          <w:rFonts w:hint="eastAsia"/>
        </w:rPr>
        <w:t>工程进度表</w:t>
      </w:r>
    </w:p>
    <w:p w14:paraId="17A3F7A8">
      <w:pPr>
        <w:spacing w:line="360" w:lineRule="auto"/>
        <w:ind w:firstLine="420" w:firstLineChars="200"/>
      </w:pPr>
      <w:r>
        <w:rPr>
          <w:rFonts w:hint="eastAsia"/>
        </w:rPr>
        <w:t>项目实施计划步骤如下：</w:t>
      </w:r>
    </w:p>
    <w:p w14:paraId="08609FEE">
      <w:pPr>
        <w:spacing w:line="360" w:lineRule="auto"/>
      </w:pPr>
      <w:bookmarkStart w:id="12" w:name="_Toc8438"/>
      <w:bookmarkStart w:id="13" w:name="_Toc19130"/>
      <w:bookmarkStart w:id="14" w:name="_Toc21052"/>
      <w:bookmarkStart w:id="15" w:name="_Toc25244"/>
      <w:bookmarkStart w:id="16" w:name="_Toc24524"/>
      <w:bookmarkStart w:id="17" w:name="_Toc30622"/>
      <w:bookmarkStart w:id="18" w:name="_Toc2812"/>
      <w:bookmarkStart w:id="19" w:name="_Toc12657"/>
      <w:bookmarkStart w:id="20" w:name="_Toc13984"/>
      <w:bookmarkStart w:id="21" w:name="_Toc355"/>
      <w:bookmarkStart w:id="22" w:name="_Toc3314"/>
      <w:bookmarkStart w:id="23" w:name="_Toc15275"/>
      <w:bookmarkStart w:id="24" w:name="_Toc18894"/>
      <w:r>
        <w:rPr>
          <w:rFonts w:hint="eastAsia"/>
        </w:rPr>
        <w:t>1、双方进行方案确认，确定建设方案</w:t>
      </w:r>
      <w:bookmarkEnd w:id="12"/>
      <w:bookmarkEnd w:id="13"/>
      <w:bookmarkEnd w:id="14"/>
      <w:bookmarkEnd w:id="15"/>
      <w:bookmarkEnd w:id="16"/>
      <w:bookmarkEnd w:id="17"/>
      <w:bookmarkEnd w:id="18"/>
      <w:bookmarkEnd w:id="19"/>
      <w:bookmarkEnd w:id="20"/>
      <w:bookmarkEnd w:id="21"/>
      <w:bookmarkEnd w:id="22"/>
      <w:bookmarkEnd w:id="23"/>
      <w:bookmarkEnd w:id="24"/>
      <w:r>
        <w:rPr>
          <w:rFonts w:hint="eastAsia"/>
        </w:rPr>
        <w:t>；</w:t>
      </w:r>
    </w:p>
    <w:p w14:paraId="7DE43444">
      <w:pPr>
        <w:spacing w:line="360" w:lineRule="auto"/>
      </w:pPr>
      <w:r>
        <w:rPr>
          <w:rFonts w:hint="eastAsia"/>
        </w:rPr>
        <w:t>2、企业基础与工序信息核查，施工图纸设计；</w:t>
      </w:r>
    </w:p>
    <w:p w14:paraId="36B6077F">
      <w:pPr>
        <w:spacing w:line="360" w:lineRule="auto"/>
      </w:pPr>
      <w:bookmarkStart w:id="25" w:name="_Toc11547"/>
      <w:bookmarkStart w:id="26" w:name="_Toc30176"/>
      <w:bookmarkStart w:id="27" w:name="_Toc24112"/>
      <w:bookmarkStart w:id="28" w:name="_Toc3260"/>
      <w:bookmarkStart w:id="29" w:name="_Toc14069"/>
      <w:bookmarkStart w:id="30" w:name="_Toc23702"/>
      <w:bookmarkStart w:id="31" w:name="_Toc27804"/>
      <w:bookmarkStart w:id="32" w:name="_Toc11955"/>
      <w:bookmarkStart w:id="33" w:name="_Toc30874"/>
      <w:bookmarkStart w:id="34" w:name="_Toc22335"/>
      <w:bookmarkStart w:id="35" w:name="_Toc17723"/>
      <w:bookmarkStart w:id="36" w:name="_Toc5294"/>
      <w:bookmarkStart w:id="37" w:name="_Toc25195"/>
      <w:r>
        <w:rPr>
          <w:rFonts w:hint="eastAsia"/>
        </w:rPr>
        <w:t>3、设备及材料进厂，并开箱、清点及检验</w:t>
      </w:r>
      <w:bookmarkEnd w:id="25"/>
      <w:bookmarkEnd w:id="26"/>
      <w:bookmarkEnd w:id="27"/>
      <w:bookmarkEnd w:id="28"/>
      <w:bookmarkEnd w:id="29"/>
      <w:bookmarkEnd w:id="30"/>
      <w:bookmarkEnd w:id="31"/>
      <w:bookmarkEnd w:id="32"/>
      <w:bookmarkEnd w:id="33"/>
      <w:bookmarkEnd w:id="34"/>
      <w:bookmarkEnd w:id="35"/>
      <w:bookmarkEnd w:id="36"/>
      <w:bookmarkEnd w:id="37"/>
      <w:r>
        <w:rPr>
          <w:rFonts w:hint="eastAsia"/>
        </w:rPr>
        <w:t>；</w:t>
      </w:r>
    </w:p>
    <w:p w14:paraId="004A511B">
      <w:pPr>
        <w:spacing w:line="360" w:lineRule="auto"/>
      </w:pPr>
      <w:bookmarkStart w:id="38" w:name="_Toc23884"/>
      <w:bookmarkStart w:id="39" w:name="_Toc12384"/>
      <w:bookmarkStart w:id="40" w:name="_Toc30586"/>
      <w:bookmarkStart w:id="41" w:name="_Toc11480"/>
      <w:bookmarkStart w:id="42" w:name="_Toc21649"/>
      <w:bookmarkStart w:id="43" w:name="_Toc8100"/>
      <w:bookmarkStart w:id="44" w:name="_Toc29536"/>
      <w:bookmarkStart w:id="45" w:name="_Toc14841"/>
      <w:bookmarkStart w:id="46" w:name="_Toc5161"/>
      <w:bookmarkStart w:id="47" w:name="_Toc25037"/>
      <w:bookmarkStart w:id="48" w:name="_Toc8793"/>
      <w:bookmarkStart w:id="49" w:name="_Toc19524"/>
      <w:r>
        <w:rPr>
          <w:rFonts w:hint="eastAsia"/>
        </w:rPr>
        <w:t>4、</w:t>
      </w:r>
      <w:bookmarkEnd w:id="38"/>
      <w:bookmarkEnd w:id="39"/>
      <w:bookmarkEnd w:id="40"/>
      <w:bookmarkEnd w:id="41"/>
      <w:bookmarkEnd w:id="42"/>
      <w:bookmarkEnd w:id="43"/>
      <w:bookmarkEnd w:id="44"/>
      <w:bookmarkEnd w:id="45"/>
      <w:bookmarkEnd w:id="46"/>
      <w:bookmarkEnd w:id="47"/>
      <w:bookmarkEnd w:id="48"/>
      <w:bookmarkEnd w:id="49"/>
      <w:r>
        <w:rPr>
          <w:rFonts w:hint="eastAsia"/>
        </w:rPr>
        <w:t>每个工作站的监测设备的通讯线的敷设及设备到管理机调试；</w:t>
      </w:r>
    </w:p>
    <w:p w14:paraId="3E16349A">
      <w:pPr>
        <w:spacing w:line="360" w:lineRule="auto"/>
      </w:pPr>
      <w:bookmarkStart w:id="50" w:name="_Toc30479"/>
      <w:bookmarkStart w:id="51" w:name="_Toc23573"/>
      <w:bookmarkStart w:id="52" w:name="_Toc26046"/>
      <w:bookmarkStart w:id="53" w:name="_Toc15309"/>
      <w:bookmarkStart w:id="54" w:name="_Toc2842"/>
      <w:bookmarkStart w:id="55" w:name="_Toc23642"/>
      <w:bookmarkStart w:id="56" w:name="_Toc18620"/>
      <w:bookmarkStart w:id="57" w:name="_Toc16252"/>
      <w:bookmarkStart w:id="58" w:name="_Toc5005"/>
      <w:bookmarkStart w:id="59" w:name="_Toc14436"/>
      <w:bookmarkStart w:id="60" w:name="_Toc13675"/>
      <w:bookmarkStart w:id="61" w:name="_Toc30877"/>
      <w:bookmarkStart w:id="62" w:name="_Toc3233"/>
      <w:r>
        <w:rPr>
          <w:rFonts w:hint="eastAsia"/>
        </w:rPr>
        <w:t>5、</w:t>
      </w:r>
      <w:bookmarkEnd w:id="50"/>
      <w:bookmarkEnd w:id="51"/>
      <w:bookmarkEnd w:id="52"/>
      <w:bookmarkEnd w:id="53"/>
      <w:bookmarkEnd w:id="54"/>
      <w:bookmarkEnd w:id="55"/>
      <w:bookmarkEnd w:id="56"/>
      <w:bookmarkEnd w:id="57"/>
      <w:bookmarkEnd w:id="58"/>
      <w:bookmarkEnd w:id="59"/>
      <w:bookmarkEnd w:id="60"/>
      <w:bookmarkEnd w:id="61"/>
      <w:bookmarkEnd w:id="62"/>
      <w:r>
        <w:rPr>
          <w:rFonts w:hint="eastAsia"/>
        </w:rPr>
        <w:t>通讯管理机到端设备的调试；</w:t>
      </w:r>
    </w:p>
    <w:p w14:paraId="74ECCFD6">
      <w:pPr>
        <w:spacing w:line="360" w:lineRule="auto"/>
      </w:pPr>
      <w:bookmarkStart w:id="63" w:name="_Toc20778"/>
      <w:bookmarkStart w:id="64" w:name="_Toc4108"/>
      <w:bookmarkStart w:id="65" w:name="_Toc31346"/>
      <w:bookmarkStart w:id="66" w:name="_Toc14388"/>
      <w:bookmarkStart w:id="67" w:name="_Toc21159"/>
      <w:bookmarkStart w:id="68" w:name="_Toc8433"/>
      <w:bookmarkStart w:id="69" w:name="_Toc14399"/>
      <w:bookmarkStart w:id="70" w:name="_Toc23948"/>
      <w:bookmarkStart w:id="71" w:name="_Toc16069"/>
      <w:bookmarkStart w:id="72" w:name="_Toc8901"/>
      <w:bookmarkStart w:id="73" w:name="_Toc30556"/>
      <w:bookmarkStart w:id="74" w:name="_Toc25705"/>
      <w:bookmarkStart w:id="75" w:name="_Toc28839"/>
      <w:r>
        <w:rPr>
          <w:rFonts w:hint="eastAsia"/>
        </w:rPr>
        <w:t>6、</w:t>
      </w:r>
      <w:bookmarkEnd w:id="63"/>
      <w:bookmarkEnd w:id="64"/>
      <w:bookmarkEnd w:id="65"/>
      <w:bookmarkEnd w:id="66"/>
      <w:bookmarkEnd w:id="67"/>
      <w:bookmarkEnd w:id="68"/>
      <w:bookmarkEnd w:id="69"/>
      <w:bookmarkEnd w:id="70"/>
      <w:bookmarkEnd w:id="71"/>
      <w:bookmarkEnd w:id="72"/>
      <w:bookmarkEnd w:id="73"/>
      <w:bookmarkEnd w:id="74"/>
      <w:bookmarkEnd w:id="75"/>
      <w:r>
        <w:rPr>
          <w:rFonts w:hint="eastAsia"/>
        </w:rPr>
        <w:t>第三方系统与端设备对接，接口开发；</w:t>
      </w:r>
    </w:p>
    <w:p w14:paraId="3BEE2F71">
      <w:pPr>
        <w:spacing w:line="360" w:lineRule="auto"/>
      </w:pPr>
      <w:bookmarkStart w:id="76" w:name="_Toc5115"/>
      <w:bookmarkStart w:id="77" w:name="_Toc14470"/>
      <w:bookmarkStart w:id="78" w:name="_Toc5839"/>
      <w:bookmarkStart w:id="79" w:name="_Toc8184"/>
      <w:bookmarkStart w:id="80" w:name="_Toc29931"/>
      <w:bookmarkStart w:id="81" w:name="_Toc27289"/>
      <w:bookmarkStart w:id="82" w:name="_Toc18579"/>
      <w:bookmarkStart w:id="83" w:name="_Toc26458"/>
      <w:bookmarkStart w:id="84" w:name="_Toc8989"/>
      <w:bookmarkStart w:id="85" w:name="_Toc32053"/>
      <w:bookmarkStart w:id="86" w:name="_Toc14955"/>
      <w:bookmarkStart w:id="87" w:name="_Toc26238"/>
      <w:bookmarkStart w:id="88" w:name="_Toc21131"/>
      <w:r>
        <w:rPr>
          <w:rFonts w:hint="eastAsia"/>
        </w:rPr>
        <w:t>7、</w:t>
      </w:r>
      <w:bookmarkEnd w:id="76"/>
      <w:bookmarkEnd w:id="77"/>
      <w:bookmarkEnd w:id="78"/>
      <w:bookmarkEnd w:id="79"/>
      <w:bookmarkEnd w:id="80"/>
      <w:bookmarkEnd w:id="81"/>
      <w:bookmarkEnd w:id="82"/>
      <w:bookmarkEnd w:id="83"/>
      <w:bookmarkEnd w:id="84"/>
      <w:bookmarkEnd w:id="85"/>
      <w:bookmarkEnd w:id="86"/>
      <w:bookmarkEnd w:id="87"/>
      <w:bookmarkEnd w:id="88"/>
      <w:r>
        <w:rPr>
          <w:rFonts w:hint="eastAsia"/>
        </w:rPr>
        <w:t>人工录入系统开发；</w:t>
      </w:r>
    </w:p>
    <w:p w14:paraId="3B9ECEB4">
      <w:pPr>
        <w:spacing w:line="360" w:lineRule="auto"/>
      </w:pPr>
      <w:bookmarkStart w:id="89" w:name="_Toc32012"/>
      <w:bookmarkStart w:id="90" w:name="_Toc28232"/>
      <w:bookmarkStart w:id="91" w:name="_Toc20358"/>
      <w:bookmarkStart w:id="92" w:name="_Toc8605"/>
      <w:bookmarkStart w:id="93" w:name="_Toc23495"/>
      <w:bookmarkStart w:id="94" w:name="_Toc15073"/>
      <w:bookmarkStart w:id="95" w:name="_Toc14357"/>
      <w:bookmarkStart w:id="96" w:name="_Toc6017"/>
      <w:bookmarkStart w:id="97" w:name="_Toc8372"/>
      <w:bookmarkStart w:id="98" w:name="_Toc19901"/>
      <w:bookmarkStart w:id="99" w:name="_Toc25835"/>
      <w:bookmarkStart w:id="100" w:name="_Toc27906"/>
      <w:bookmarkStart w:id="101" w:name="_Toc21987"/>
      <w:r>
        <w:rPr>
          <w:rFonts w:hint="eastAsia"/>
        </w:rPr>
        <w:t>8、</w:t>
      </w:r>
      <w:bookmarkEnd w:id="89"/>
      <w:bookmarkEnd w:id="90"/>
      <w:bookmarkEnd w:id="91"/>
      <w:bookmarkEnd w:id="92"/>
      <w:bookmarkEnd w:id="93"/>
      <w:bookmarkEnd w:id="94"/>
      <w:bookmarkEnd w:id="95"/>
      <w:bookmarkEnd w:id="96"/>
      <w:bookmarkEnd w:id="97"/>
      <w:bookmarkEnd w:id="98"/>
      <w:bookmarkEnd w:id="99"/>
      <w:bookmarkEnd w:id="100"/>
      <w:bookmarkEnd w:id="101"/>
      <w:r>
        <w:rPr>
          <w:rFonts w:hint="eastAsia"/>
        </w:rPr>
        <w:t>核查上传数据的准确性、完整性，计算指标的计算方法与结果等；</w:t>
      </w:r>
    </w:p>
    <w:p w14:paraId="566CA243">
      <w:pPr>
        <w:spacing w:line="360" w:lineRule="auto"/>
      </w:pPr>
      <w:bookmarkStart w:id="102" w:name="_Toc4019"/>
      <w:bookmarkStart w:id="103" w:name="_Toc6921"/>
      <w:bookmarkStart w:id="104" w:name="_Toc9874"/>
      <w:bookmarkStart w:id="105" w:name="_Toc32156"/>
      <w:bookmarkStart w:id="106" w:name="_Toc25969"/>
      <w:bookmarkStart w:id="107" w:name="_Toc3024"/>
      <w:bookmarkStart w:id="108" w:name="_Toc4236"/>
      <w:bookmarkStart w:id="109" w:name="_Toc31524"/>
      <w:bookmarkStart w:id="110" w:name="_Toc5950"/>
      <w:bookmarkStart w:id="111" w:name="_Toc17802"/>
      <w:bookmarkStart w:id="112" w:name="_Toc5944"/>
      <w:bookmarkStart w:id="113" w:name="_Toc25672"/>
      <w:bookmarkStart w:id="114" w:name="_Toc17397"/>
      <w:r>
        <w:rPr>
          <w:rFonts w:hint="eastAsia"/>
        </w:rPr>
        <w:t>9、</w:t>
      </w:r>
      <w:bookmarkEnd w:id="102"/>
      <w:bookmarkEnd w:id="103"/>
      <w:bookmarkEnd w:id="104"/>
      <w:bookmarkEnd w:id="105"/>
      <w:bookmarkEnd w:id="106"/>
      <w:bookmarkEnd w:id="107"/>
      <w:bookmarkEnd w:id="108"/>
      <w:bookmarkEnd w:id="109"/>
      <w:bookmarkEnd w:id="110"/>
      <w:bookmarkEnd w:id="111"/>
      <w:bookmarkEnd w:id="112"/>
      <w:bookmarkEnd w:id="113"/>
      <w:bookmarkEnd w:id="114"/>
      <w:bookmarkStart w:id="115" w:name="_Toc949"/>
      <w:bookmarkStart w:id="116" w:name="_Toc9095"/>
      <w:bookmarkStart w:id="117" w:name="_Toc12459"/>
      <w:bookmarkStart w:id="118" w:name="_Toc13117"/>
      <w:bookmarkStart w:id="119" w:name="_Toc8454"/>
      <w:bookmarkStart w:id="120" w:name="_Toc11105"/>
      <w:bookmarkStart w:id="121" w:name="_Toc5341"/>
      <w:bookmarkStart w:id="122" w:name="_Toc22547"/>
      <w:bookmarkStart w:id="123" w:name="_Toc18996"/>
      <w:bookmarkStart w:id="124" w:name="_Toc8248"/>
      <w:bookmarkStart w:id="125" w:name="_Toc31008"/>
      <w:bookmarkStart w:id="126" w:name="_Toc17000"/>
      <w:bookmarkStart w:id="127" w:name="_Toc3232"/>
      <w:r>
        <w:rPr>
          <w:rFonts w:hint="eastAsia"/>
        </w:rPr>
        <w:t>申请试运行，经批准进入试运行阶段；</w:t>
      </w:r>
    </w:p>
    <w:p w14:paraId="2099BA23">
      <w:pPr>
        <w:spacing w:line="360" w:lineRule="auto"/>
      </w:pPr>
      <w:r>
        <w:rPr>
          <w:rFonts w:hint="eastAsia"/>
        </w:rPr>
        <w:t>10</w:t>
      </w:r>
      <w:bookmarkEnd w:id="115"/>
      <w:bookmarkEnd w:id="116"/>
      <w:bookmarkEnd w:id="117"/>
      <w:bookmarkEnd w:id="118"/>
      <w:bookmarkEnd w:id="119"/>
      <w:bookmarkEnd w:id="120"/>
      <w:bookmarkEnd w:id="121"/>
      <w:bookmarkEnd w:id="122"/>
      <w:bookmarkEnd w:id="123"/>
      <w:bookmarkEnd w:id="124"/>
      <w:bookmarkEnd w:id="125"/>
      <w:bookmarkEnd w:id="126"/>
      <w:bookmarkEnd w:id="127"/>
      <w:bookmarkStart w:id="128" w:name="_Toc15888"/>
      <w:bookmarkStart w:id="129" w:name="_Toc13522"/>
      <w:bookmarkStart w:id="130" w:name="_Toc24462"/>
      <w:bookmarkStart w:id="131" w:name="_Toc28117"/>
      <w:bookmarkStart w:id="132" w:name="_Toc27049"/>
      <w:bookmarkStart w:id="133" w:name="_Toc8769"/>
      <w:bookmarkStart w:id="134" w:name="_Toc21132"/>
      <w:bookmarkStart w:id="135" w:name="_Toc11516"/>
      <w:bookmarkStart w:id="136" w:name="_Toc14576"/>
      <w:bookmarkStart w:id="137" w:name="_Toc25580"/>
      <w:bookmarkStart w:id="138" w:name="_Toc15245"/>
      <w:bookmarkStart w:id="139" w:name="_Toc11451"/>
      <w:bookmarkStart w:id="140" w:name="_Toc5463"/>
      <w:r>
        <w:rPr>
          <w:rFonts w:hint="eastAsia"/>
        </w:rPr>
        <w:t>、完成用能单位在线监测数据对接任务，转入国家平台或省平台正式运行；</w:t>
      </w:r>
    </w:p>
    <w:p w14:paraId="4486835E">
      <w:pPr>
        <w:spacing w:line="360" w:lineRule="auto"/>
      </w:pPr>
      <w:r>
        <w:rPr>
          <w:rFonts w:hint="eastAsia"/>
        </w:rPr>
        <w:t>11、</w:t>
      </w:r>
      <w:bookmarkEnd w:id="128"/>
      <w:bookmarkEnd w:id="129"/>
      <w:bookmarkEnd w:id="130"/>
      <w:bookmarkEnd w:id="131"/>
      <w:bookmarkEnd w:id="132"/>
      <w:bookmarkEnd w:id="133"/>
      <w:bookmarkEnd w:id="134"/>
      <w:bookmarkEnd w:id="135"/>
      <w:bookmarkEnd w:id="136"/>
      <w:bookmarkEnd w:id="137"/>
      <w:bookmarkEnd w:id="138"/>
      <w:bookmarkEnd w:id="139"/>
      <w:bookmarkEnd w:id="140"/>
      <w:r>
        <w:rPr>
          <w:rFonts w:hint="eastAsia"/>
        </w:rPr>
        <w:t>资料整理，培训相关人员，收尾；</w:t>
      </w:r>
    </w:p>
    <w:p w14:paraId="776A7EE4">
      <w:pPr>
        <w:spacing w:line="360" w:lineRule="auto"/>
      </w:pPr>
      <w:bookmarkStart w:id="141" w:name="_Toc29750"/>
      <w:bookmarkStart w:id="142" w:name="_Toc32551"/>
      <w:bookmarkStart w:id="143" w:name="_Toc20889"/>
      <w:bookmarkStart w:id="144" w:name="_Toc5384"/>
      <w:bookmarkStart w:id="145" w:name="_Toc22213"/>
      <w:bookmarkStart w:id="146" w:name="_Toc25989"/>
      <w:bookmarkStart w:id="147" w:name="_Toc29326"/>
      <w:bookmarkStart w:id="148" w:name="_Toc4162"/>
      <w:bookmarkStart w:id="149" w:name="_Toc23225"/>
      <w:bookmarkStart w:id="150" w:name="_Toc24951"/>
      <w:bookmarkStart w:id="151" w:name="_Toc22417"/>
      <w:bookmarkStart w:id="152" w:name="_Toc20819"/>
      <w:bookmarkStart w:id="153" w:name="_Toc4853"/>
      <w:r>
        <w:rPr>
          <w:rFonts w:hint="eastAsia"/>
        </w:rPr>
        <w:t>12、项目验收</w:t>
      </w:r>
      <w:bookmarkEnd w:id="141"/>
      <w:bookmarkEnd w:id="142"/>
      <w:bookmarkEnd w:id="143"/>
      <w:bookmarkEnd w:id="144"/>
      <w:bookmarkEnd w:id="145"/>
      <w:bookmarkEnd w:id="146"/>
      <w:bookmarkEnd w:id="147"/>
      <w:bookmarkEnd w:id="148"/>
      <w:bookmarkEnd w:id="149"/>
      <w:bookmarkEnd w:id="150"/>
      <w:bookmarkEnd w:id="151"/>
      <w:bookmarkEnd w:id="152"/>
      <w:bookmarkEnd w:id="153"/>
      <w:r>
        <w:rPr>
          <w:rFonts w:hint="eastAsia"/>
        </w:rPr>
        <w:t>。</w:t>
      </w:r>
    </w:p>
    <w:p w14:paraId="4B92F78C">
      <w:pPr>
        <w:spacing w:line="360" w:lineRule="auto"/>
      </w:pPr>
      <w:r>
        <w:rPr>
          <w:rFonts w:hint="eastAsia"/>
        </w:rPr>
        <w:t>4.3确保工期技术组织措施</w:t>
      </w:r>
    </w:p>
    <w:p w14:paraId="602FA67A">
      <w:pPr>
        <w:spacing w:line="360" w:lineRule="auto"/>
      </w:pPr>
      <w:r>
        <w:rPr>
          <w:rFonts w:hint="eastAsia"/>
        </w:rPr>
        <w:t>1、及时准确地作好安装材料计划、材料的采购计划，加强对工程的计划性的管理，以免影响工期。</w:t>
      </w:r>
    </w:p>
    <w:p w14:paraId="1F127063">
      <w:pPr>
        <w:spacing w:line="360" w:lineRule="auto"/>
      </w:pPr>
      <w:r>
        <w:rPr>
          <w:rFonts w:hint="eastAsia"/>
        </w:rPr>
        <w:t>2、加强对图纸的审核，加强与设计人员的联系，及时避免由于设计上的问题带来返工浪费而影响工期。</w:t>
      </w:r>
    </w:p>
    <w:p w14:paraId="216E462E">
      <w:pPr>
        <w:spacing w:line="360" w:lineRule="auto"/>
      </w:pPr>
      <w:r>
        <w:rPr>
          <w:rFonts w:hint="eastAsia"/>
        </w:rPr>
        <w:t>3、组成分系统的专业施工管理班组，根据施工交叉程序编制安装月综合进度计划,逐一落实施工条件与进度安排，对设备、场地制定协调计划指令，限制使用范围、时间，并严格执行使各专业协调开展工作。</w:t>
      </w:r>
    </w:p>
    <w:p w14:paraId="1E871FBD">
      <w:pPr>
        <w:spacing w:line="360" w:lineRule="auto"/>
      </w:pPr>
      <w:r>
        <w:rPr>
          <w:rFonts w:hint="eastAsia"/>
        </w:rPr>
        <w:t>4、电气的器具安装与水暖安装工程密切配合、协调进度、保护成品。</w:t>
      </w:r>
    </w:p>
    <w:p w14:paraId="40D96502">
      <w:pPr>
        <w:spacing w:line="360" w:lineRule="auto"/>
      </w:pPr>
      <w:r>
        <w:rPr>
          <w:rFonts w:hint="eastAsia"/>
        </w:rPr>
        <w:t>5、电气安装施工尽量在主要管道及土建工程施工后进行，密切配合结构弱电信息网络工程，并协调好与其它安装专业的交叉施工，以提高工程一次安装的合格率及优良率，避免因返工而影响工期及质量。</w:t>
      </w:r>
    </w:p>
    <w:p w14:paraId="6F04E546">
      <w:pPr>
        <w:spacing w:line="360" w:lineRule="auto"/>
      </w:pPr>
      <w:r>
        <w:rPr>
          <w:rFonts w:hint="eastAsia"/>
        </w:rPr>
        <w:t>6、现场施工要提前沟通、协调，通知到甲方的施工现场监护人，不能因施工影响甲方正常生产，因此造成生产事故的乙方承担甲方损失。</w:t>
      </w:r>
    </w:p>
    <w:p w14:paraId="29DCAFAF">
      <w:pPr>
        <w:spacing w:line="360" w:lineRule="auto"/>
        <w:rPr>
          <w:b/>
          <w:bCs/>
        </w:rPr>
      </w:pPr>
      <w:r>
        <w:rPr>
          <w:rFonts w:hint="eastAsia"/>
          <w:b/>
          <w:bCs/>
        </w:rPr>
        <w:t>五、技术要求：</w:t>
      </w:r>
    </w:p>
    <w:p w14:paraId="124C8CCA">
      <w:pPr>
        <w:pStyle w:val="236"/>
        <w:autoSpaceDE w:val="0"/>
        <w:autoSpaceDN w:val="0"/>
        <w:snapToGrid w:val="0"/>
        <w:spacing w:line="360" w:lineRule="auto"/>
        <w:ind w:firstLine="367" w:firstLineChars="175"/>
        <w:rPr>
          <w:rFonts w:hint="eastAsia" w:hAnsi="宋体"/>
          <w:color w:val="000000"/>
          <w:kern w:val="2"/>
          <w:sz w:val="21"/>
          <w:szCs w:val="24"/>
        </w:rPr>
      </w:pPr>
      <w:r>
        <w:rPr>
          <w:rFonts w:hint="eastAsia" w:hAnsi="宋体"/>
          <w:color w:val="000000"/>
          <w:kern w:val="2"/>
          <w:sz w:val="21"/>
          <w:szCs w:val="24"/>
        </w:rPr>
        <w:t>本工程为交钥匙工程，乙方负责工程的设计，设备生产、现场安装、运输、调试及数据对接</w:t>
      </w:r>
      <w:r>
        <w:rPr>
          <w:rFonts w:hint="eastAsia" w:hAnsi="宋体"/>
          <w:color w:val="000000"/>
          <w:kern w:val="2"/>
          <w:sz w:val="21"/>
          <w:szCs w:val="24"/>
          <w:lang w:eastAsia="zh-CN"/>
        </w:rPr>
        <w:t>（</w:t>
      </w:r>
      <w:r>
        <w:rPr>
          <w:rFonts w:hint="eastAsia" w:hAnsi="宋体"/>
          <w:color w:val="000000"/>
          <w:kern w:val="2"/>
          <w:sz w:val="21"/>
          <w:szCs w:val="24"/>
          <w:lang w:val="en-US" w:eastAsia="zh-CN"/>
        </w:rPr>
        <w:t>包括MIS系统接口费</w:t>
      </w:r>
      <w:r>
        <w:rPr>
          <w:rFonts w:hint="eastAsia" w:hAnsi="宋体"/>
          <w:color w:val="000000"/>
          <w:kern w:val="2"/>
          <w:sz w:val="21"/>
          <w:szCs w:val="24"/>
          <w:lang w:eastAsia="zh-CN"/>
        </w:rPr>
        <w:t>）</w:t>
      </w:r>
      <w:r>
        <w:rPr>
          <w:rFonts w:hint="eastAsia" w:hAnsi="宋体"/>
          <w:color w:val="000000"/>
          <w:kern w:val="2"/>
          <w:sz w:val="21"/>
          <w:szCs w:val="24"/>
        </w:rPr>
        <w:t>等所有内容的施工。乙方须具备设备的安装及试验能力，并在人员、设备、资金等方面具有相应的施工能力。</w:t>
      </w:r>
    </w:p>
    <w:p w14:paraId="1DC1EE69">
      <w:pPr>
        <w:pStyle w:val="236"/>
        <w:autoSpaceDE w:val="0"/>
        <w:autoSpaceDN w:val="0"/>
        <w:snapToGrid w:val="0"/>
        <w:spacing w:line="360" w:lineRule="auto"/>
        <w:ind w:firstLine="0"/>
        <w:rPr>
          <w:rFonts w:hint="eastAsia" w:hAnsi="宋体"/>
          <w:color w:val="000000"/>
          <w:kern w:val="2"/>
          <w:sz w:val="21"/>
          <w:szCs w:val="24"/>
        </w:rPr>
      </w:pPr>
      <w:r>
        <w:rPr>
          <w:rFonts w:hint="eastAsia" w:hAnsi="宋体"/>
          <w:color w:val="000000"/>
          <w:kern w:val="2"/>
          <w:sz w:val="21"/>
          <w:szCs w:val="24"/>
        </w:rPr>
        <w:t>5.1、质量保证</w:t>
      </w:r>
    </w:p>
    <w:p w14:paraId="33E4017F">
      <w:pPr>
        <w:pStyle w:val="236"/>
        <w:autoSpaceDE w:val="0"/>
        <w:autoSpaceDN w:val="0"/>
        <w:snapToGrid w:val="0"/>
        <w:spacing w:line="360" w:lineRule="auto"/>
        <w:ind w:firstLine="0"/>
        <w:rPr>
          <w:rFonts w:hint="eastAsia" w:hAnsi="宋体"/>
          <w:color w:val="000000"/>
          <w:kern w:val="2"/>
          <w:sz w:val="21"/>
          <w:szCs w:val="24"/>
        </w:rPr>
      </w:pPr>
      <w:r>
        <w:rPr>
          <w:rFonts w:hint="eastAsia" w:hAnsi="宋体"/>
          <w:color w:val="000000"/>
          <w:kern w:val="2"/>
          <w:sz w:val="21"/>
          <w:szCs w:val="24"/>
        </w:rPr>
        <w:t>5.1.1乙方应向甲方保证所供设备是技术先进、成熟可靠的全新产品，在设计、材料选择和工艺上能充分满足安装及正常运行和维护的要求；</w:t>
      </w:r>
    </w:p>
    <w:p w14:paraId="4D1A2653">
      <w:pPr>
        <w:pStyle w:val="236"/>
        <w:autoSpaceDE w:val="0"/>
        <w:autoSpaceDN w:val="0"/>
        <w:snapToGrid w:val="0"/>
        <w:spacing w:line="360" w:lineRule="auto"/>
        <w:ind w:firstLine="0"/>
        <w:rPr>
          <w:rFonts w:hint="eastAsia" w:hAnsi="宋体"/>
          <w:color w:val="000000"/>
          <w:kern w:val="2"/>
          <w:sz w:val="21"/>
          <w:szCs w:val="24"/>
        </w:rPr>
      </w:pPr>
      <w:r>
        <w:rPr>
          <w:rFonts w:hint="eastAsia" w:hAnsi="宋体"/>
          <w:color w:val="000000"/>
          <w:kern w:val="2"/>
          <w:sz w:val="21"/>
          <w:szCs w:val="24"/>
        </w:rPr>
        <w:t>5.1.2如在安装和试运期间发现零部件的缺陷、损坏情况，乙方应立即无条件更换。</w:t>
      </w:r>
    </w:p>
    <w:p w14:paraId="7F3D1909">
      <w:pPr>
        <w:pStyle w:val="236"/>
        <w:autoSpaceDE w:val="0"/>
        <w:autoSpaceDN w:val="0"/>
        <w:snapToGrid w:val="0"/>
        <w:spacing w:line="360" w:lineRule="auto"/>
        <w:ind w:firstLine="0"/>
        <w:rPr>
          <w:rFonts w:hint="eastAsia" w:hAnsi="宋体"/>
          <w:color w:val="000000"/>
          <w:kern w:val="2"/>
          <w:sz w:val="21"/>
          <w:szCs w:val="24"/>
        </w:rPr>
      </w:pPr>
      <w:r>
        <w:rPr>
          <w:rFonts w:hint="eastAsia" w:hAnsi="宋体"/>
          <w:color w:val="000000"/>
          <w:kern w:val="2"/>
          <w:sz w:val="21"/>
          <w:szCs w:val="24"/>
        </w:rPr>
        <w:t>5.2、性能保证</w:t>
      </w:r>
    </w:p>
    <w:p w14:paraId="65F67B22">
      <w:pPr>
        <w:pStyle w:val="236"/>
        <w:autoSpaceDE w:val="0"/>
        <w:autoSpaceDN w:val="0"/>
        <w:snapToGrid w:val="0"/>
        <w:spacing w:line="360" w:lineRule="auto"/>
        <w:ind w:firstLine="0"/>
        <w:rPr>
          <w:rFonts w:hint="eastAsia" w:hAnsi="宋体"/>
          <w:color w:val="000000"/>
          <w:kern w:val="2"/>
          <w:sz w:val="21"/>
          <w:szCs w:val="24"/>
        </w:rPr>
      </w:pPr>
      <w:r>
        <w:rPr>
          <w:rFonts w:hint="eastAsia" w:hAnsi="宋体"/>
          <w:color w:val="000000"/>
          <w:kern w:val="2"/>
          <w:sz w:val="21"/>
          <w:szCs w:val="24"/>
        </w:rPr>
        <w:t>5.2.1本技术协议涉及的设备及配件，如由其他厂家配套的，乙方应统一协调，确定合理尺寸和技术参数，以满足整体的要求；</w:t>
      </w:r>
    </w:p>
    <w:p w14:paraId="3BDEB3C6">
      <w:pPr>
        <w:pStyle w:val="236"/>
        <w:autoSpaceDE w:val="0"/>
        <w:autoSpaceDN w:val="0"/>
        <w:snapToGrid w:val="0"/>
        <w:spacing w:line="360" w:lineRule="auto"/>
        <w:ind w:firstLine="0"/>
        <w:rPr>
          <w:rFonts w:hint="eastAsia" w:hAnsi="宋体"/>
          <w:color w:val="000000"/>
          <w:kern w:val="2"/>
          <w:sz w:val="21"/>
          <w:szCs w:val="24"/>
        </w:rPr>
      </w:pPr>
      <w:r>
        <w:rPr>
          <w:rFonts w:hint="eastAsia" w:hAnsi="宋体"/>
          <w:color w:val="000000"/>
          <w:kern w:val="2"/>
          <w:sz w:val="21"/>
          <w:szCs w:val="24"/>
        </w:rPr>
        <w:t>5.2.2所有外购附件，由乙方选择采用优质产品，并附有相应的产品合格证，将外购件厂家事先通知甲方，并取得甲方同意。</w:t>
      </w:r>
    </w:p>
    <w:p w14:paraId="69A38666">
      <w:pPr>
        <w:pStyle w:val="236"/>
        <w:autoSpaceDE w:val="0"/>
        <w:autoSpaceDN w:val="0"/>
        <w:snapToGrid w:val="0"/>
        <w:spacing w:line="360" w:lineRule="auto"/>
        <w:ind w:firstLine="0"/>
        <w:rPr>
          <w:rFonts w:hint="eastAsia" w:hAnsi="宋体"/>
          <w:color w:val="000000"/>
          <w:kern w:val="2"/>
          <w:sz w:val="21"/>
          <w:szCs w:val="24"/>
        </w:rPr>
      </w:pPr>
      <w:r>
        <w:rPr>
          <w:rFonts w:hint="eastAsia" w:hAnsi="宋体"/>
          <w:color w:val="000000"/>
          <w:kern w:val="2"/>
          <w:sz w:val="21"/>
          <w:szCs w:val="24"/>
        </w:rPr>
        <w:t>5.3、技术资料和技术图纸</w:t>
      </w:r>
    </w:p>
    <w:p w14:paraId="4167DE3B">
      <w:pPr>
        <w:pStyle w:val="236"/>
        <w:autoSpaceDE w:val="0"/>
        <w:autoSpaceDN w:val="0"/>
        <w:snapToGrid w:val="0"/>
        <w:spacing w:line="360" w:lineRule="auto"/>
        <w:ind w:firstLine="0"/>
        <w:rPr>
          <w:rFonts w:hint="eastAsia" w:hAnsi="宋体"/>
          <w:color w:val="000000"/>
          <w:kern w:val="2"/>
          <w:sz w:val="21"/>
          <w:szCs w:val="24"/>
        </w:rPr>
      </w:pPr>
      <w:r>
        <w:rPr>
          <w:rFonts w:hint="eastAsia" w:hAnsi="宋体"/>
          <w:color w:val="000000"/>
          <w:kern w:val="2"/>
          <w:sz w:val="21"/>
          <w:szCs w:val="24"/>
        </w:rPr>
        <w:t>5.3.1乙方须提供调试、性能验收、检验、试运行、运行维护等方面的技术资料。</w:t>
      </w:r>
    </w:p>
    <w:p w14:paraId="48C55BD8">
      <w:pPr>
        <w:pStyle w:val="236"/>
        <w:autoSpaceDE w:val="0"/>
        <w:autoSpaceDN w:val="0"/>
        <w:snapToGrid w:val="0"/>
        <w:spacing w:line="360" w:lineRule="auto"/>
        <w:ind w:firstLine="0"/>
        <w:rPr>
          <w:rFonts w:hint="eastAsia" w:hAnsi="宋体"/>
          <w:color w:val="000000"/>
          <w:kern w:val="2"/>
          <w:sz w:val="21"/>
          <w:szCs w:val="24"/>
        </w:rPr>
      </w:pPr>
      <w:r>
        <w:rPr>
          <w:rFonts w:hint="eastAsia" w:hAnsi="宋体"/>
          <w:color w:val="000000"/>
          <w:kern w:val="2"/>
          <w:sz w:val="21"/>
          <w:szCs w:val="24"/>
        </w:rPr>
        <w:t>5.3.2乙方提供的技术资料包括技术文件、图纸、使用说明、设备主要技术参数、软件及其使用手册、操作手册、培训指导书等，不少于2套，电子版一套。</w:t>
      </w:r>
    </w:p>
    <w:p w14:paraId="56614236">
      <w:pPr>
        <w:pStyle w:val="236"/>
        <w:autoSpaceDE w:val="0"/>
        <w:autoSpaceDN w:val="0"/>
        <w:snapToGrid w:val="0"/>
        <w:spacing w:line="360" w:lineRule="auto"/>
        <w:ind w:firstLine="0"/>
        <w:rPr>
          <w:rFonts w:hint="eastAsia" w:hAnsi="宋体"/>
          <w:color w:val="000000"/>
          <w:kern w:val="2"/>
          <w:sz w:val="21"/>
          <w:szCs w:val="24"/>
        </w:rPr>
      </w:pPr>
      <w:r>
        <w:rPr>
          <w:rFonts w:hint="eastAsia" w:hAnsi="宋体"/>
          <w:color w:val="000000"/>
          <w:kern w:val="2"/>
          <w:sz w:val="21"/>
          <w:szCs w:val="24"/>
        </w:rPr>
        <w:t>5.4、乙方应提供的设备质量证明书包括：</w:t>
      </w:r>
    </w:p>
    <w:p w14:paraId="6C35FC2A">
      <w:pPr>
        <w:pStyle w:val="236"/>
        <w:autoSpaceDE w:val="0"/>
        <w:autoSpaceDN w:val="0"/>
        <w:snapToGrid w:val="0"/>
        <w:spacing w:line="360" w:lineRule="auto"/>
        <w:ind w:firstLine="0"/>
        <w:rPr>
          <w:rFonts w:hint="eastAsia" w:hAnsi="宋体"/>
          <w:color w:val="000000"/>
          <w:kern w:val="2"/>
          <w:sz w:val="21"/>
          <w:szCs w:val="24"/>
        </w:rPr>
      </w:pPr>
      <w:r>
        <w:rPr>
          <w:rFonts w:hint="eastAsia" w:hAnsi="宋体"/>
          <w:color w:val="000000"/>
          <w:kern w:val="2"/>
          <w:sz w:val="21"/>
          <w:szCs w:val="24"/>
        </w:rPr>
        <w:t>1）产品合格证；</w:t>
      </w:r>
    </w:p>
    <w:p w14:paraId="6E17BC55">
      <w:pPr>
        <w:pStyle w:val="236"/>
        <w:autoSpaceDE w:val="0"/>
        <w:autoSpaceDN w:val="0"/>
        <w:snapToGrid w:val="0"/>
        <w:spacing w:line="360" w:lineRule="auto"/>
        <w:ind w:firstLine="0"/>
        <w:rPr>
          <w:rFonts w:hint="eastAsia" w:hAnsi="宋体"/>
          <w:color w:val="000000"/>
          <w:kern w:val="2"/>
          <w:sz w:val="21"/>
          <w:szCs w:val="24"/>
        </w:rPr>
      </w:pPr>
      <w:r>
        <w:rPr>
          <w:rFonts w:hint="eastAsia" w:hAnsi="宋体"/>
          <w:color w:val="000000"/>
          <w:kern w:val="2"/>
          <w:sz w:val="21"/>
          <w:szCs w:val="24"/>
        </w:rPr>
        <w:t>2）设备制造、检验记录。</w:t>
      </w:r>
    </w:p>
    <w:p w14:paraId="1FA10A6F">
      <w:pPr>
        <w:pStyle w:val="236"/>
        <w:autoSpaceDE w:val="0"/>
        <w:autoSpaceDN w:val="0"/>
        <w:snapToGrid w:val="0"/>
        <w:spacing w:line="360" w:lineRule="auto"/>
        <w:ind w:firstLine="0"/>
        <w:rPr>
          <w:rFonts w:hint="eastAsia" w:hAnsi="宋体"/>
          <w:color w:val="000000"/>
          <w:kern w:val="2"/>
          <w:sz w:val="21"/>
          <w:szCs w:val="24"/>
        </w:rPr>
      </w:pPr>
      <w:r>
        <w:rPr>
          <w:rFonts w:hint="eastAsia" w:hAnsi="宋体"/>
          <w:color w:val="000000"/>
          <w:kern w:val="2"/>
          <w:sz w:val="21"/>
          <w:szCs w:val="24"/>
        </w:rPr>
        <w:t>5.5、乙方应提供的图纸及资料包括：</w:t>
      </w:r>
    </w:p>
    <w:p w14:paraId="0019FA0D">
      <w:pPr>
        <w:pStyle w:val="236"/>
        <w:autoSpaceDE w:val="0"/>
        <w:autoSpaceDN w:val="0"/>
        <w:snapToGrid w:val="0"/>
        <w:spacing w:line="360" w:lineRule="auto"/>
        <w:ind w:firstLine="0"/>
        <w:rPr>
          <w:rFonts w:hint="eastAsia" w:hAnsi="宋体"/>
          <w:color w:val="000000"/>
          <w:kern w:val="2"/>
          <w:sz w:val="21"/>
          <w:szCs w:val="24"/>
        </w:rPr>
      </w:pPr>
      <w:r>
        <w:rPr>
          <w:rFonts w:hint="eastAsia" w:hAnsi="宋体"/>
          <w:color w:val="000000"/>
          <w:kern w:val="2"/>
          <w:sz w:val="21"/>
          <w:szCs w:val="24"/>
        </w:rPr>
        <w:t>1）系统配置详图（带有相关电气设备的描述）；</w:t>
      </w:r>
    </w:p>
    <w:p w14:paraId="7F9A8143">
      <w:pPr>
        <w:pStyle w:val="236"/>
        <w:autoSpaceDE w:val="0"/>
        <w:autoSpaceDN w:val="0"/>
        <w:snapToGrid w:val="0"/>
        <w:spacing w:line="360" w:lineRule="auto"/>
        <w:ind w:firstLine="0"/>
        <w:rPr>
          <w:rFonts w:hint="eastAsia" w:hAnsi="宋体"/>
          <w:color w:val="000000"/>
          <w:kern w:val="2"/>
          <w:sz w:val="21"/>
          <w:szCs w:val="24"/>
        </w:rPr>
      </w:pPr>
      <w:r>
        <w:rPr>
          <w:rFonts w:hint="eastAsia" w:hAnsi="宋体"/>
          <w:color w:val="000000"/>
          <w:kern w:val="2"/>
          <w:sz w:val="21"/>
          <w:szCs w:val="24"/>
        </w:rPr>
        <w:t>2）接线图；</w:t>
      </w:r>
    </w:p>
    <w:p w14:paraId="655DDE8D">
      <w:pPr>
        <w:pStyle w:val="236"/>
        <w:autoSpaceDE w:val="0"/>
        <w:autoSpaceDN w:val="0"/>
        <w:snapToGrid w:val="0"/>
        <w:spacing w:line="360" w:lineRule="auto"/>
        <w:ind w:firstLine="0"/>
        <w:rPr>
          <w:rFonts w:hint="eastAsia" w:hAnsi="宋体"/>
          <w:color w:val="000000"/>
          <w:kern w:val="2"/>
          <w:sz w:val="21"/>
          <w:szCs w:val="24"/>
        </w:rPr>
      </w:pPr>
      <w:r>
        <w:rPr>
          <w:rFonts w:hint="eastAsia" w:hAnsi="宋体"/>
          <w:color w:val="000000"/>
          <w:kern w:val="2"/>
          <w:sz w:val="21"/>
          <w:szCs w:val="24"/>
        </w:rPr>
        <w:t>3）检验标准</w:t>
      </w:r>
    </w:p>
    <w:p w14:paraId="5D2FAE66">
      <w:pPr>
        <w:spacing w:line="360" w:lineRule="auto"/>
      </w:pPr>
      <w:r>
        <w:rPr>
          <w:rFonts w:hint="eastAsia"/>
        </w:rPr>
        <w:t>6.6规范性引用文件：</w:t>
      </w:r>
    </w:p>
    <w:p w14:paraId="09425D78">
      <w:pPr>
        <w:spacing w:line="360" w:lineRule="auto"/>
        <w:ind w:firstLine="420" w:firstLineChars="200"/>
      </w:pPr>
      <w:r>
        <w:rPr>
          <w:rFonts w:hint="eastAsia"/>
        </w:rPr>
        <w:t>下列文件对于本文件的应用是必不可少的。凡是注日期的引用文件，仅注日期的版本适用于本文件。凡是不注日期的引用文件，其最新版本适用于本文件。</w:t>
      </w:r>
    </w:p>
    <w:p w14:paraId="520872F9">
      <w:pPr>
        <w:spacing w:line="360" w:lineRule="auto"/>
        <w:ind w:firstLine="420" w:firstLineChars="200"/>
      </w:pPr>
      <w:r>
        <w:rPr>
          <w:rFonts w:hint="eastAsia"/>
        </w:rPr>
        <w:t>GB/T 2589   综合能耗计算通则</w:t>
      </w:r>
    </w:p>
    <w:p w14:paraId="292FA502">
      <w:pPr>
        <w:spacing w:line="360" w:lineRule="auto"/>
        <w:ind w:firstLine="420" w:firstLineChars="200"/>
      </w:pPr>
      <w:r>
        <w:rPr>
          <w:rFonts w:hint="eastAsia"/>
        </w:rPr>
        <w:t>GB/T 6422    用能设备能量平衡测试导则</w:t>
      </w:r>
    </w:p>
    <w:p w14:paraId="23D9FC72">
      <w:pPr>
        <w:spacing w:line="360" w:lineRule="auto"/>
        <w:ind w:firstLine="420" w:firstLineChars="200"/>
      </w:pPr>
      <w:r>
        <w:rPr>
          <w:rFonts w:hint="eastAsia"/>
        </w:rPr>
        <w:t>GB 17167     用能单位能源计量器具配置和管理通则</w:t>
      </w:r>
    </w:p>
    <w:p w14:paraId="7CB65629">
      <w:pPr>
        <w:spacing w:line="360" w:lineRule="auto"/>
        <w:ind w:firstLine="420" w:firstLineChars="200"/>
      </w:pPr>
      <w:r>
        <w:rPr>
          <w:rFonts w:hint="eastAsia"/>
        </w:rPr>
        <w:t>NHJC-02-2018 重点用能单位能耗在线监测系统-基础信息与格式规范</w:t>
      </w:r>
    </w:p>
    <w:p w14:paraId="7A145E4C">
      <w:pPr>
        <w:spacing w:line="360" w:lineRule="auto"/>
        <w:ind w:firstLine="420" w:firstLineChars="200"/>
      </w:pPr>
      <w:r>
        <w:rPr>
          <w:rFonts w:hint="eastAsia"/>
        </w:rPr>
        <w:t>NHJC-04-2018 重点用能单位能耗在线监测系统-端设备接口协议规范</w:t>
      </w:r>
    </w:p>
    <w:p w14:paraId="7A72901A">
      <w:pPr>
        <w:spacing w:line="360" w:lineRule="auto"/>
        <w:ind w:firstLine="420" w:firstLineChars="200"/>
      </w:pPr>
      <w:r>
        <w:rPr>
          <w:rFonts w:hint="eastAsia"/>
        </w:rPr>
        <w:t>NHJC-07-2018 重点用能单位能耗在线监测系统-能源品种采集规范</w:t>
      </w:r>
    </w:p>
    <w:p w14:paraId="180F3773">
      <w:pPr>
        <w:spacing w:line="360" w:lineRule="auto"/>
        <w:ind w:firstLine="420" w:firstLineChars="200"/>
      </w:pPr>
      <w:r>
        <w:rPr>
          <w:rFonts w:hint="eastAsia"/>
        </w:rPr>
        <w:t>NHJC-08-2018 重点用能单位能耗在线监测系统-系统安全规范</w:t>
      </w:r>
    </w:p>
    <w:p w14:paraId="1ACEEFF3">
      <w:pPr>
        <w:spacing w:line="360" w:lineRule="auto"/>
        <w:ind w:firstLine="420" w:firstLineChars="200"/>
      </w:pPr>
      <w:r>
        <w:rPr>
          <w:rFonts w:hint="eastAsia"/>
        </w:rPr>
        <w:t>NHJC-06-2018 重点用能单位能耗在线监测系统-端设备技术规范</w:t>
      </w:r>
    </w:p>
    <w:p w14:paraId="0FD80776">
      <w:pPr>
        <w:spacing w:line="360" w:lineRule="auto"/>
        <w:ind w:firstLine="420" w:firstLineChars="200"/>
      </w:pPr>
      <w:r>
        <w:rPr>
          <w:rFonts w:hint="eastAsia"/>
        </w:rPr>
        <w:t>GE 17859     计算机信息系统安全保护等级划分准则</w:t>
      </w:r>
    </w:p>
    <w:p w14:paraId="6DA2E699">
      <w:pPr>
        <w:spacing w:line="360" w:lineRule="auto"/>
        <w:ind w:firstLine="420" w:firstLineChars="200"/>
      </w:pPr>
      <w:r>
        <w:rPr>
          <w:rFonts w:hint="eastAsia"/>
        </w:rPr>
        <w:t>GB/T 20269   信息安全技术 信息系统安全管理要求</w:t>
      </w:r>
    </w:p>
    <w:p w14:paraId="1D756648">
      <w:pPr>
        <w:spacing w:line="360" w:lineRule="auto"/>
        <w:ind w:firstLine="420" w:firstLineChars="200"/>
      </w:pPr>
      <w:r>
        <w:rPr>
          <w:rFonts w:hint="eastAsia"/>
        </w:rPr>
        <w:t>GB/T 20270   信息安全技术 网络基础安全技术要求</w:t>
      </w:r>
    </w:p>
    <w:p w14:paraId="3BE1A4CF">
      <w:pPr>
        <w:spacing w:line="360" w:lineRule="auto"/>
        <w:ind w:firstLine="420" w:firstLineChars="200"/>
      </w:pPr>
      <w:r>
        <w:rPr>
          <w:rFonts w:hint="eastAsia"/>
        </w:rPr>
        <w:t>GB/T 20271   信息安全技术 信息系统安全通用技术要求</w:t>
      </w:r>
    </w:p>
    <w:p w14:paraId="5A7C6C12">
      <w:pPr>
        <w:spacing w:line="360" w:lineRule="auto"/>
        <w:ind w:firstLine="420" w:firstLineChars="200"/>
      </w:pPr>
      <w:r>
        <w:rPr>
          <w:rFonts w:hint="eastAsia"/>
        </w:rPr>
        <w:t>GB/T 20272   信息安全技术 操作系统安全技术要求</w:t>
      </w:r>
    </w:p>
    <w:p w14:paraId="724AC454">
      <w:pPr>
        <w:spacing w:line="360" w:lineRule="auto"/>
        <w:ind w:firstLine="420" w:firstLineChars="200"/>
      </w:pPr>
      <w:r>
        <w:rPr>
          <w:rFonts w:hint="eastAsia"/>
        </w:rPr>
        <w:t>GB/T 20273   信息安全技术 数据库管理系统安全技术要求</w:t>
      </w:r>
    </w:p>
    <w:p w14:paraId="395AC9E5">
      <w:pPr>
        <w:spacing w:line="360" w:lineRule="auto"/>
        <w:ind w:firstLine="420" w:firstLineChars="200"/>
      </w:pPr>
      <w:r>
        <w:rPr>
          <w:rFonts w:hint="eastAsia"/>
        </w:rPr>
        <w:t xml:space="preserve">GB/T 20279   信息安全技术 网络和终端设备隔离部件安全技术要求 </w:t>
      </w:r>
    </w:p>
    <w:p w14:paraId="6B0027F0">
      <w:pPr>
        <w:spacing w:line="360" w:lineRule="auto"/>
        <w:ind w:firstLine="420" w:firstLineChars="200"/>
      </w:pPr>
      <w:r>
        <w:rPr>
          <w:rFonts w:hint="eastAsia"/>
        </w:rPr>
        <w:t xml:space="preserve">GB/T 20282   信息安全技术 信息系统安全工程管理要求 </w:t>
      </w:r>
    </w:p>
    <w:p w14:paraId="0009028D">
      <w:pPr>
        <w:spacing w:line="360" w:lineRule="auto"/>
        <w:ind w:firstLine="420" w:firstLineChars="200"/>
      </w:pPr>
      <w:r>
        <w:rPr>
          <w:rFonts w:hint="eastAsia"/>
        </w:rPr>
        <w:t>GB/T 22239   信息安全技术 信息系统安全等级保护基本要求</w:t>
      </w:r>
    </w:p>
    <w:p w14:paraId="74B37F1C">
      <w:pPr>
        <w:spacing w:line="360" w:lineRule="auto"/>
        <w:ind w:firstLine="420" w:firstLineChars="200"/>
      </w:pPr>
      <w:r>
        <w:rPr>
          <w:rFonts w:hint="eastAsia"/>
        </w:rPr>
        <w:t xml:space="preserve">GB/T 22240   信息安全技术 信息系统安全等级保护定级指南 </w:t>
      </w:r>
    </w:p>
    <w:p w14:paraId="2520559A">
      <w:pPr>
        <w:spacing w:line="360" w:lineRule="auto"/>
        <w:ind w:firstLine="420" w:firstLineChars="200"/>
      </w:pPr>
      <w:r>
        <w:rPr>
          <w:rFonts w:hint="eastAsia"/>
        </w:rPr>
        <w:t xml:space="preserve">GB/T 25070   信息系统等级保护安全设计技术要求 </w:t>
      </w:r>
    </w:p>
    <w:p w14:paraId="6480C2F2">
      <w:pPr>
        <w:spacing w:line="360" w:lineRule="auto"/>
        <w:ind w:firstLine="420" w:firstLineChars="200"/>
      </w:pPr>
      <w:r>
        <w:rPr>
          <w:rFonts w:hint="eastAsia"/>
        </w:rPr>
        <w:t>GB/T 28449   信息安全技术信息系统安全等级保护测评过程指南</w:t>
      </w:r>
    </w:p>
    <w:p w14:paraId="3AC39B20">
      <w:pPr>
        <w:spacing w:line="360" w:lineRule="auto"/>
        <w:ind w:firstLine="420" w:firstLineChars="200"/>
      </w:pPr>
      <w:r>
        <w:rPr>
          <w:rFonts w:hint="eastAsia"/>
        </w:rPr>
        <w:t xml:space="preserve">GB/T 30976.1  工业控制系统信息安全 第 1 部分：评估规范 </w:t>
      </w:r>
    </w:p>
    <w:p w14:paraId="7D22F2F6">
      <w:pPr>
        <w:spacing w:line="360" w:lineRule="auto"/>
        <w:ind w:firstLine="420" w:firstLineChars="200"/>
      </w:pPr>
      <w:r>
        <w:rPr>
          <w:rFonts w:hint="eastAsia"/>
        </w:rPr>
        <w:t xml:space="preserve">GB/T 30976.2  工业控制系统信息安全 第 2 部分：验收规范 </w:t>
      </w:r>
    </w:p>
    <w:p w14:paraId="40CFCD7D">
      <w:pPr>
        <w:spacing w:line="360" w:lineRule="auto"/>
        <w:ind w:firstLine="420" w:firstLineChars="200"/>
      </w:pPr>
      <w:r>
        <w:rPr>
          <w:rFonts w:hint="eastAsia"/>
        </w:rPr>
        <w:t>GB/T 17626   电磁兼容 试验和测量技术系列标准</w:t>
      </w:r>
    </w:p>
    <w:p w14:paraId="7F0B13A4">
      <w:pPr>
        <w:spacing w:line="360" w:lineRule="auto"/>
        <w:ind w:firstLine="420" w:firstLineChars="200"/>
      </w:pPr>
      <w:r>
        <w:rPr>
          <w:rFonts w:hint="eastAsia"/>
        </w:rPr>
        <w:t xml:space="preserve">GB/T 2589    综合能耗计算通则 </w:t>
      </w:r>
    </w:p>
    <w:p w14:paraId="66FD759C">
      <w:pPr>
        <w:spacing w:line="360" w:lineRule="auto"/>
        <w:ind w:firstLine="420" w:firstLineChars="200"/>
      </w:pPr>
      <w:r>
        <w:rPr>
          <w:rFonts w:hint="eastAsia"/>
        </w:rPr>
        <w:t xml:space="preserve">GB/T 6422    用能设备能量平衡测试导则 </w:t>
      </w:r>
    </w:p>
    <w:p w14:paraId="2495C567">
      <w:pPr>
        <w:spacing w:line="360" w:lineRule="auto"/>
        <w:ind w:firstLine="420" w:firstLineChars="200"/>
      </w:pPr>
      <w:r>
        <w:rPr>
          <w:rFonts w:hint="eastAsia"/>
        </w:rPr>
        <w:t xml:space="preserve">GB 17167     用能单位能源计量器具配置和管理通则 </w:t>
      </w:r>
    </w:p>
    <w:p w14:paraId="20C2D131">
      <w:pPr>
        <w:spacing w:line="360" w:lineRule="auto"/>
        <w:ind w:firstLine="420" w:firstLineChars="200"/>
      </w:pPr>
      <w:r>
        <w:rPr>
          <w:rFonts w:hint="eastAsia"/>
        </w:rPr>
        <w:t xml:space="preserve">GB 21342     焦炭单位产品能源消耗限额 </w:t>
      </w:r>
    </w:p>
    <w:p w14:paraId="6CE0174B">
      <w:pPr>
        <w:spacing w:line="360" w:lineRule="auto"/>
        <w:ind w:firstLine="420" w:firstLineChars="200"/>
      </w:pPr>
      <w:r>
        <w:rPr>
          <w:rFonts w:hint="eastAsia"/>
        </w:rPr>
        <w:t>NHJC        《重点用能单位能耗在线监测系统》</w:t>
      </w:r>
    </w:p>
    <w:p w14:paraId="6BEA97EC">
      <w:pPr>
        <w:spacing w:line="360" w:lineRule="auto"/>
        <w:ind w:firstLine="420" w:firstLineChars="200"/>
      </w:pPr>
      <w:r>
        <w:rPr>
          <w:rFonts w:hint="eastAsia"/>
        </w:rPr>
        <w:t xml:space="preserve">GB/T 2589     综合能耗计算通则 </w:t>
      </w:r>
    </w:p>
    <w:p w14:paraId="21D3265B">
      <w:pPr>
        <w:spacing w:line="360" w:lineRule="auto"/>
        <w:ind w:firstLine="420" w:firstLineChars="200"/>
      </w:pPr>
      <w:r>
        <w:rPr>
          <w:rFonts w:hint="eastAsia"/>
        </w:rPr>
        <w:t xml:space="preserve">GB/T 13234    企业节能量计算方法 </w:t>
      </w:r>
    </w:p>
    <w:p w14:paraId="3C734102">
      <w:pPr>
        <w:spacing w:line="360" w:lineRule="auto"/>
        <w:ind w:firstLine="420" w:firstLineChars="200"/>
      </w:pPr>
      <w:r>
        <w:rPr>
          <w:rFonts w:hint="eastAsia"/>
        </w:rPr>
        <w:t xml:space="preserve">GB 17167      用能单位能源计量器具配置和管理通则 </w:t>
      </w:r>
    </w:p>
    <w:p w14:paraId="2C91BC4D">
      <w:pPr>
        <w:spacing w:line="360" w:lineRule="auto"/>
        <w:ind w:firstLine="420" w:firstLineChars="200"/>
      </w:pPr>
      <w:r>
        <w:rPr>
          <w:rFonts w:hint="eastAsia"/>
        </w:rPr>
        <w:t xml:space="preserve">GB/T 23331    能源管理体系要求 </w:t>
      </w:r>
    </w:p>
    <w:p w14:paraId="6DF18FE4">
      <w:pPr>
        <w:spacing w:line="360" w:lineRule="auto"/>
        <w:ind w:firstLine="420" w:firstLineChars="200"/>
      </w:pPr>
      <w:r>
        <w:rPr>
          <w:rFonts w:hint="eastAsia"/>
        </w:rPr>
        <w:t xml:space="preserve">GB/T 29456    能源管理体系实施指南 </w:t>
      </w:r>
    </w:p>
    <w:p w14:paraId="672A0753">
      <w:pPr>
        <w:spacing w:line="360" w:lineRule="auto"/>
        <w:ind w:firstLine="420" w:firstLineChars="200"/>
      </w:pPr>
      <w:r>
        <w:rPr>
          <w:rFonts w:hint="eastAsia"/>
        </w:rPr>
        <w:t xml:space="preserve">GB/T 15316    节能监测技术通则 </w:t>
      </w:r>
    </w:p>
    <w:p w14:paraId="5267F1C3">
      <w:pPr>
        <w:spacing w:line="360" w:lineRule="auto"/>
        <w:ind w:firstLine="420" w:firstLineChars="200"/>
      </w:pPr>
      <w:r>
        <w:rPr>
          <w:rFonts w:hint="eastAsia"/>
        </w:rPr>
        <w:t xml:space="preserve">GB/T 19022    测量管理体系-测量过程和测量设备的要求 </w:t>
      </w:r>
    </w:p>
    <w:p w14:paraId="78B2B448">
      <w:pPr>
        <w:spacing w:line="360" w:lineRule="auto"/>
        <w:ind w:firstLine="420" w:firstLineChars="200"/>
      </w:pPr>
      <w:r>
        <w:rPr>
          <w:rFonts w:hint="eastAsia"/>
        </w:rPr>
        <w:t>JJF 1356       重点用能单位能源计量审查规范</w:t>
      </w:r>
    </w:p>
    <w:p w14:paraId="7ABB2451">
      <w:pPr>
        <w:spacing w:line="360" w:lineRule="auto"/>
        <w:ind w:firstLine="420" w:firstLineChars="200"/>
      </w:pPr>
      <w:r>
        <w:rPr>
          <w:rFonts w:hint="eastAsia"/>
        </w:rPr>
        <w:t xml:space="preserve">GB/T 2260     中华人民共和国行政区划代码 </w:t>
      </w:r>
    </w:p>
    <w:p w14:paraId="786D227F">
      <w:pPr>
        <w:spacing w:line="360" w:lineRule="auto"/>
        <w:ind w:firstLine="420" w:firstLineChars="200"/>
      </w:pPr>
      <w:r>
        <w:rPr>
          <w:rFonts w:hint="eastAsia"/>
        </w:rPr>
        <w:t xml:space="preserve">GB/T 4754     国民经济行业分类 </w:t>
      </w:r>
    </w:p>
    <w:p w14:paraId="0DD151B5">
      <w:pPr>
        <w:spacing w:line="360" w:lineRule="auto"/>
        <w:ind w:firstLine="420" w:firstLineChars="200"/>
      </w:pPr>
      <w:r>
        <w:rPr>
          <w:rFonts w:hint="eastAsia"/>
        </w:rPr>
        <w:t xml:space="preserve">GB/T 30976.1   工业控制系统信息安全 第1部分：评估规范 </w:t>
      </w:r>
    </w:p>
    <w:p w14:paraId="32385210">
      <w:pPr>
        <w:spacing w:line="360" w:lineRule="auto"/>
        <w:ind w:firstLine="420" w:firstLineChars="200"/>
      </w:pPr>
      <w:r>
        <w:rPr>
          <w:rFonts w:hint="eastAsia"/>
        </w:rPr>
        <w:t xml:space="preserve">GB 32100      法人和其他组织统一社会信用代码编码规则 </w:t>
      </w:r>
    </w:p>
    <w:p w14:paraId="35B10A54">
      <w:pPr>
        <w:spacing w:line="360" w:lineRule="auto"/>
        <w:ind w:firstLine="420" w:firstLineChars="200"/>
      </w:pPr>
      <w:r>
        <w:rPr>
          <w:rFonts w:hint="eastAsia"/>
        </w:rPr>
        <w:t>JJF 1051       计量器具命名与分类编码</w:t>
      </w:r>
    </w:p>
    <w:p w14:paraId="63E5FC2D">
      <w:pPr>
        <w:spacing w:line="360" w:lineRule="auto"/>
        <w:ind w:firstLine="420" w:firstLineChars="200"/>
      </w:pPr>
      <w:r>
        <w:rPr>
          <w:rFonts w:hint="eastAsia"/>
        </w:rPr>
        <w:t xml:space="preserve">国统字〔1998〕200号国家统计局国家工商行政管理局《关于划分企业登记注册类型的规定》 </w:t>
      </w:r>
    </w:p>
    <w:p w14:paraId="09082504">
      <w:pPr>
        <w:spacing w:line="360" w:lineRule="auto"/>
        <w:ind w:firstLine="420" w:firstLineChars="200"/>
      </w:pPr>
      <w:r>
        <w:rPr>
          <w:rFonts w:hint="eastAsia"/>
        </w:rPr>
        <w:t xml:space="preserve">NHJC-02       重点用能单位能耗在线监测系统基础信息与格式规范 </w:t>
      </w:r>
    </w:p>
    <w:p w14:paraId="1880B5B1">
      <w:pPr>
        <w:spacing w:line="360" w:lineRule="auto"/>
        <w:ind w:firstLine="420" w:firstLineChars="200"/>
      </w:pPr>
      <w:r>
        <w:rPr>
          <w:rFonts w:hint="eastAsia"/>
        </w:rPr>
        <w:t xml:space="preserve">NHJC-07       重点用能单位能耗在线监测系统能源品种采集规范 </w:t>
      </w:r>
    </w:p>
    <w:p w14:paraId="1CC6F35C">
      <w:pPr>
        <w:spacing w:line="360" w:lineRule="auto"/>
        <w:ind w:firstLine="420" w:firstLineChars="200"/>
      </w:pPr>
      <w:r>
        <w:rPr>
          <w:rFonts w:hint="eastAsia"/>
        </w:rPr>
        <w:t xml:space="preserve">GB 50174       电子信息系统机房设计规范 </w:t>
      </w:r>
    </w:p>
    <w:p w14:paraId="1772E2C5">
      <w:pPr>
        <w:spacing w:line="360" w:lineRule="auto"/>
        <w:ind w:firstLine="420" w:firstLineChars="200"/>
      </w:pPr>
      <w:r>
        <w:rPr>
          <w:rFonts w:hint="eastAsia"/>
        </w:rPr>
        <w:t xml:space="preserve">GB/T 2887      电子计算机场地通用规范 </w:t>
      </w:r>
    </w:p>
    <w:p w14:paraId="2D726AF2">
      <w:pPr>
        <w:spacing w:line="360" w:lineRule="auto"/>
        <w:ind w:firstLine="420" w:firstLineChars="200"/>
      </w:pPr>
      <w:r>
        <w:rPr>
          <w:rFonts w:hint="eastAsia"/>
        </w:rPr>
        <w:t xml:space="preserve">GB 9361        电子计算站场地安全要求 </w:t>
      </w:r>
    </w:p>
    <w:p w14:paraId="197D956A">
      <w:pPr>
        <w:spacing w:line="360" w:lineRule="auto"/>
        <w:ind w:firstLine="420" w:firstLineChars="200"/>
      </w:pPr>
      <w:r>
        <w:rPr>
          <w:rFonts w:hint="eastAsia"/>
        </w:rPr>
        <w:t xml:space="preserve">GB 6650        电子计算机机房用活动地板技术条件 </w:t>
      </w:r>
    </w:p>
    <w:p w14:paraId="01D9D2A3">
      <w:pPr>
        <w:spacing w:line="360" w:lineRule="auto"/>
        <w:ind w:firstLine="420" w:firstLineChars="200"/>
      </w:pPr>
      <w:r>
        <w:rPr>
          <w:rFonts w:hint="eastAsia"/>
        </w:rPr>
        <w:t xml:space="preserve">SJ/T 30003      电子计算机机房施工及验收规范 </w:t>
      </w:r>
    </w:p>
    <w:p w14:paraId="1C726380">
      <w:pPr>
        <w:spacing w:line="360" w:lineRule="auto"/>
        <w:ind w:firstLine="420" w:firstLineChars="200"/>
      </w:pPr>
      <w:r>
        <w:rPr>
          <w:rFonts w:hint="eastAsia"/>
        </w:rPr>
        <w:t xml:space="preserve">GB 50052       供配电系统设计规范 </w:t>
      </w:r>
    </w:p>
    <w:p w14:paraId="6B5FE663">
      <w:pPr>
        <w:spacing w:line="360" w:lineRule="auto"/>
        <w:ind w:firstLine="420" w:firstLineChars="200"/>
      </w:pPr>
      <w:r>
        <w:rPr>
          <w:rFonts w:hint="eastAsia"/>
        </w:rPr>
        <w:t xml:space="preserve">GB 50054       低压配电设计规范 </w:t>
      </w:r>
    </w:p>
    <w:p w14:paraId="59166058">
      <w:pPr>
        <w:spacing w:line="360" w:lineRule="auto"/>
        <w:ind w:firstLine="420" w:firstLineChars="200"/>
      </w:pPr>
      <w:r>
        <w:rPr>
          <w:rFonts w:hint="eastAsia"/>
        </w:rPr>
        <w:t xml:space="preserve">GB 14050       系统接地的形式及安全技术要求 </w:t>
      </w:r>
    </w:p>
    <w:p w14:paraId="4A7AFDE3">
      <w:pPr>
        <w:spacing w:line="360" w:lineRule="auto"/>
        <w:ind w:firstLine="420" w:firstLineChars="200"/>
      </w:pPr>
      <w:r>
        <w:rPr>
          <w:rFonts w:hint="eastAsia"/>
        </w:rPr>
        <w:t xml:space="preserve">JGJ/T 16        民用建筑电气设计规范 </w:t>
      </w:r>
    </w:p>
    <w:p w14:paraId="6B6AD936">
      <w:pPr>
        <w:spacing w:line="360" w:lineRule="auto"/>
        <w:ind w:firstLine="420" w:firstLineChars="200"/>
      </w:pPr>
      <w:r>
        <w:rPr>
          <w:rFonts w:hint="eastAsia"/>
        </w:rPr>
        <w:t xml:space="preserve">GB 50311       综合布线系统工程设计规范 </w:t>
      </w:r>
    </w:p>
    <w:p w14:paraId="7D1BCE18">
      <w:pPr>
        <w:spacing w:line="360" w:lineRule="auto"/>
        <w:ind w:firstLine="420" w:firstLineChars="200"/>
      </w:pPr>
      <w:r>
        <w:rPr>
          <w:rFonts w:hint="eastAsia"/>
        </w:rPr>
        <w:t>YD/T 1099      以太网交换机技术要求</w:t>
      </w:r>
    </w:p>
    <w:p w14:paraId="2EBE7B10">
      <w:pPr>
        <w:spacing w:line="360" w:lineRule="auto"/>
        <w:ind w:firstLine="420" w:firstLineChars="200"/>
      </w:pPr>
      <w:r>
        <w:rPr>
          <w:rFonts w:hint="eastAsia"/>
        </w:rPr>
        <w:t xml:space="preserve">GB 4943        信息技术设备 </w:t>
      </w:r>
    </w:p>
    <w:p w14:paraId="5C83D087">
      <w:pPr>
        <w:spacing w:line="360" w:lineRule="auto"/>
        <w:ind w:firstLine="420" w:firstLineChars="200"/>
      </w:pPr>
      <w:r>
        <w:rPr>
          <w:rFonts w:hint="eastAsia"/>
        </w:rPr>
        <w:t xml:space="preserve">GB 9254        信息技术设备的无线电骚扰限值和测量方法 </w:t>
      </w:r>
    </w:p>
    <w:p w14:paraId="47E3C254">
      <w:pPr>
        <w:spacing w:line="360" w:lineRule="auto"/>
        <w:ind w:firstLine="420" w:firstLineChars="200"/>
      </w:pPr>
      <w:r>
        <w:rPr>
          <w:rFonts w:hint="eastAsia"/>
        </w:rPr>
        <w:t xml:space="preserve">GB 12325       电能质量供电电压偏差 </w:t>
      </w:r>
    </w:p>
    <w:p w14:paraId="07A2F0F4">
      <w:pPr>
        <w:spacing w:line="360" w:lineRule="auto"/>
        <w:ind w:firstLine="420" w:firstLineChars="200"/>
      </w:pPr>
      <w:r>
        <w:rPr>
          <w:rFonts w:hint="eastAsia"/>
        </w:rPr>
        <w:t xml:space="preserve">GB 17625.1      电磁兼容限值谐波电流发射限值 </w:t>
      </w:r>
    </w:p>
    <w:p w14:paraId="11026B5A">
      <w:pPr>
        <w:spacing w:line="360" w:lineRule="auto"/>
        <w:ind w:firstLine="420" w:firstLineChars="200"/>
      </w:pPr>
      <w:r>
        <w:rPr>
          <w:rFonts w:hint="eastAsia"/>
        </w:rPr>
        <w:t xml:space="preserve">GB/T 17626.2    电磁兼容 试验和测量技术 静电放电抗扰度实验 </w:t>
      </w:r>
    </w:p>
    <w:p w14:paraId="24DD23B4">
      <w:pPr>
        <w:spacing w:line="360" w:lineRule="auto"/>
        <w:ind w:firstLine="420" w:firstLineChars="200"/>
      </w:pPr>
      <w:r>
        <w:rPr>
          <w:rFonts w:hint="eastAsia"/>
        </w:rPr>
        <w:t xml:space="preserve">GB/T 17626.3    电磁兼容 试验和测量技术 射频电磁场辐射抗扰度实验 </w:t>
      </w:r>
    </w:p>
    <w:p w14:paraId="52AF7938">
      <w:pPr>
        <w:spacing w:line="360" w:lineRule="auto"/>
        <w:ind w:firstLine="420" w:firstLineChars="200"/>
      </w:pPr>
      <w:r>
        <w:rPr>
          <w:rFonts w:hint="eastAsia"/>
        </w:rPr>
        <w:t xml:space="preserve">GB/T 17626.4    电磁兼容 试验和测量技术 电快速瞬变脉冲群抗扰度实验 </w:t>
      </w:r>
    </w:p>
    <w:p w14:paraId="30CA4877">
      <w:pPr>
        <w:spacing w:line="360" w:lineRule="auto"/>
        <w:ind w:firstLine="420" w:firstLineChars="200"/>
      </w:pPr>
      <w:r>
        <w:rPr>
          <w:rFonts w:hint="eastAsia"/>
        </w:rPr>
        <w:t xml:space="preserve">GB/T 17626.5    电磁兼容 试验和测量技术 浪涌（冲击）抗扰度实验 </w:t>
      </w:r>
    </w:p>
    <w:p w14:paraId="5B4ABF04">
      <w:pPr>
        <w:spacing w:line="360" w:lineRule="auto"/>
        <w:ind w:firstLine="420" w:firstLineChars="200"/>
      </w:pPr>
      <w:r>
        <w:rPr>
          <w:rFonts w:hint="eastAsia"/>
        </w:rPr>
        <w:t xml:space="preserve">GB/T 19582      基于Modbus协议的工业自动化网络协议规范 </w:t>
      </w:r>
    </w:p>
    <w:p w14:paraId="5D8EE8B9">
      <w:pPr>
        <w:spacing w:line="360" w:lineRule="auto"/>
        <w:ind w:firstLine="420" w:firstLineChars="200"/>
      </w:pPr>
      <w:r>
        <w:rPr>
          <w:rFonts w:hint="eastAsia"/>
        </w:rPr>
        <w:t xml:space="preserve">GB/T 20279      信息安全技术 网络和终端隔离产品安全技术要求 </w:t>
      </w:r>
    </w:p>
    <w:p w14:paraId="4E82ED1A">
      <w:pPr>
        <w:spacing w:line="360" w:lineRule="auto"/>
        <w:ind w:firstLine="420" w:firstLineChars="200"/>
      </w:pPr>
      <w:r>
        <w:rPr>
          <w:rFonts w:hint="eastAsia"/>
        </w:rPr>
        <w:t xml:space="preserve">GB/T 29871-2013  能源计量仪表通用数据接口技术协议 </w:t>
      </w:r>
    </w:p>
    <w:p w14:paraId="0FCEEDDE">
      <w:pPr>
        <w:spacing w:line="360" w:lineRule="auto"/>
        <w:ind w:firstLine="420" w:firstLineChars="200"/>
      </w:pPr>
      <w:r>
        <w:rPr>
          <w:rFonts w:hint="eastAsia"/>
        </w:rPr>
        <w:t xml:space="preserve">GB/T 29872-2013  工业企业能源计量数据集中采集终端通用技术条件 </w:t>
      </w:r>
    </w:p>
    <w:p w14:paraId="108814F3">
      <w:pPr>
        <w:spacing w:line="360" w:lineRule="auto"/>
        <w:ind w:firstLine="420" w:firstLineChars="200"/>
      </w:pPr>
      <w:r>
        <w:rPr>
          <w:rFonts w:hint="eastAsia"/>
        </w:rPr>
        <w:t xml:space="preserve">GB/T 30976.2     工业控制系统信息安全 第2部分 验收规范 </w:t>
      </w:r>
    </w:p>
    <w:p w14:paraId="4F9863B3">
      <w:pPr>
        <w:spacing w:line="360" w:lineRule="auto"/>
        <w:ind w:firstLine="420" w:firstLineChars="200"/>
      </w:pPr>
      <w:r>
        <w:rPr>
          <w:rFonts w:hint="eastAsia"/>
        </w:rPr>
        <w:t xml:space="preserve">CJ/T 188         用户计量仪表数据传输技术条件 </w:t>
      </w:r>
    </w:p>
    <w:p w14:paraId="2435B76D">
      <w:pPr>
        <w:spacing w:line="360" w:lineRule="auto"/>
        <w:ind w:firstLine="420" w:firstLineChars="200"/>
      </w:pPr>
      <w:r>
        <w:rPr>
          <w:rFonts w:hint="eastAsia"/>
        </w:rPr>
        <w:t xml:space="preserve">DL/T 645         多功能电能表通信协议 </w:t>
      </w:r>
    </w:p>
    <w:p w14:paraId="3BCA8B91">
      <w:pPr>
        <w:spacing w:line="360" w:lineRule="auto"/>
        <w:ind w:firstLine="420" w:firstLineChars="200"/>
      </w:pPr>
      <w:r>
        <w:rPr>
          <w:rFonts w:hint="eastAsia"/>
        </w:rPr>
        <w:t>NHJC-04         重点用能单位能耗在线监测系统端设备接口协议规范</w:t>
      </w:r>
    </w:p>
    <w:p w14:paraId="645911A4">
      <w:pPr>
        <w:spacing w:line="360" w:lineRule="auto"/>
        <w:ind w:firstLine="420" w:firstLineChars="200"/>
      </w:pPr>
      <w:r>
        <w:rPr>
          <w:rFonts w:hint="eastAsia"/>
        </w:rPr>
        <w:t xml:space="preserve">GB 50303        建筑电气工程施工质量验收规范 </w:t>
      </w:r>
    </w:p>
    <w:p w14:paraId="4806A3DC">
      <w:pPr>
        <w:spacing w:line="360" w:lineRule="auto"/>
        <w:ind w:firstLine="420" w:firstLineChars="200"/>
      </w:pPr>
      <w:r>
        <w:rPr>
          <w:rFonts w:hint="eastAsia"/>
        </w:rPr>
        <w:t xml:space="preserve">GB/T 28398       煤炭企业能源消费统计规范 </w:t>
      </w:r>
    </w:p>
    <w:p w14:paraId="41C8FC40">
      <w:pPr>
        <w:spacing w:line="360" w:lineRule="auto"/>
        <w:ind w:firstLine="420" w:firstLineChars="200"/>
      </w:pPr>
      <w:r>
        <w:rPr>
          <w:rFonts w:hint="eastAsia"/>
        </w:rPr>
        <w:t xml:space="preserve">GB 17859         计算机信息系统安全保护等级划分准则 </w:t>
      </w:r>
    </w:p>
    <w:p w14:paraId="5681E81C">
      <w:pPr>
        <w:spacing w:line="360" w:lineRule="auto"/>
        <w:ind w:firstLine="420" w:firstLineChars="200"/>
      </w:pPr>
      <w:bookmarkStart w:id="154" w:name="_Toc13678"/>
      <w:r>
        <w:rPr>
          <w:rFonts w:hint="eastAsia"/>
        </w:rPr>
        <w:t>十二项重点用能单位能耗在线监测技术规范（试行）</w:t>
      </w:r>
      <w:bookmarkEnd w:id="154"/>
    </w:p>
    <w:p w14:paraId="50B2513D">
      <w:pPr>
        <w:spacing w:line="360" w:lineRule="auto"/>
        <w:ind w:firstLine="420" w:firstLineChars="200"/>
        <w:rPr>
          <w:rFonts w:hint="eastAsia" w:hAnsi="宋体"/>
          <w:color w:val="000000"/>
        </w:rPr>
      </w:pPr>
      <w:r>
        <w:rPr>
          <w:rFonts w:hint="eastAsia"/>
        </w:rPr>
        <w:t>GB/T 2589、GB/T 6422、GB 17167确立的以及下列术语和定义适用于本文件。</w:t>
      </w:r>
    </w:p>
    <w:p w14:paraId="63E36D8B">
      <w:pPr>
        <w:spacing w:line="360" w:lineRule="auto"/>
        <w:rPr>
          <w:b/>
          <w:bCs/>
        </w:rPr>
      </w:pPr>
      <w:r>
        <w:rPr>
          <w:rFonts w:hint="eastAsia"/>
          <w:b/>
          <w:bCs/>
        </w:rPr>
        <w:t>六、双方基本责任</w:t>
      </w:r>
    </w:p>
    <w:p w14:paraId="26EE6C47">
      <w:pPr>
        <w:spacing w:line="360" w:lineRule="auto"/>
        <w:jc w:val="left"/>
        <w:rPr>
          <w:rFonts w:hint="eastAsia" w:ascii="宋体" w:hAnsi="宋体"/>
          <w:spacing w:val="5"/>
          <w:szCs w:val="21"/>
        </w:rPr>
      </w:pPr>
      <w:r>
        <w:rPr>
          <w:rFonts w:hint="eastAsia"/>
          <w:szCs w:val="21"/>
        </w:rPr>
        <w:t>6.1、</w:t>
      </w:r>
      <w:r>
        <w:rPr>
          <w:rFonts w:hint="eastAsia" w:ascii="宋体" w:hAnsi="宋体"/>
          <w:spacing w:val="5"/>
          <w:szCs w:val="21"/>
        </w:rPr>
        <w:t>甲方责任</w:t>
      </w:r>
    </w:p>
    <w:p w14:paraId="23BCA029">
      <w:pPr>
        <w:spacing w:line="360" w:lineRule="auto"/>
        <w:jc w:val="left"/>
      </w:pPr>
      <w:r>
        <w:tab/>
      </w:r>
      <w:r>
        <w:t>1</w:t>
      </w:r>
      <w:r>
        <w:rPr>
          <w:rFonts w:hint="eastAsia"/>
        </w:rPr>
        <w:t>）为乙方工程师的服务提供必要的工作条件、工具</w:t>
      </w:r>
    </w:p>
    <w:p w14:paraId="1658F97F">
      <w:pPr>
        <w:spacing w:line="360" w:lineRule="auto"/>
        <w:jc w:val="left"/>
      </w:pPr>
      <w:r>
        <w:t></w:t>
      </w:r>
      <w:r>
        <w:tab/>
      </w:r>
      <w:r>
        <w:t>2</w:t>
      </w:r>
      <w:r>
        <w:rPr>
          <w:rFonts w:hint="eastAsia"/>
        </w:rPr>
        <w:t>）安排维护人员协助乙方工程师接口工作。</w:t>
      </w:r>
    </w:p>
    <w:p w14:paraId="6E68443E">
      <w:pPr>
        <w:pStyle w:val="236"/>
        <w:autoSpaceDE w:val="0"/>
        <w:autoSpaceDN w:val="0"/>
        <w:snapToGrid w:val="0"/>
        <w:spacing w:after="0" w:line="360" w:lineRule="auto"/>
        <w:ind w:firstLine="0"/>
        <w:jc w:val="left"/>
        <w:rPr>
          <w:rFonts w:hint="eastAsia" w:hAnsi="宋体"/>
          <w:color w:val="000000"/>
          <w:kern w:val="2"/>
          <w:sz w:val="21"/>
          <w:szCs w:val="24"/>
        </w:rPr>
      </w:pPr>
      <w:r>
        <w:rPr>
          <w:rFonts w:hint="eastAsia" w:hAnsi="宋体"/>
          <w:color w:val="000000"/>
          <w:kern w:val="2"/>
          <w:sz w:val="21"/>
          <w:szCs w:val="24"/>
        </w:rPr>
        <w:t>6.2、乙方责任</w:t>
      </w:r>
    </w:p>
    <w:p w14:paraId="310EE6D3">
      <w:pPr>
        <w:pStyle w:val="236"/>
        <w:autoSpaceDE w:val="0"/>
        <w:autoSpaceDN w:val="0"/>
        <w:snapToGrid w:val="0"/>
        <w:spacing w:line="360" w:lineRule="auto"/>
        <w:ind w:firstLine="0"/>
        <w:jc w:val="left"/>
        <w:rPr>
          <w:rFonts w:hint="eastAsia" w:hAnsi="宋体"/>
          <w:color w:val="000000"/>
          <w:kern w:val="2"/>
          <w:sz w:val="21"/>
          <w:szCs w:val="24"/>
        </w:rPr>
      </w:pPr>
      <w:r>
        <w:rPr>
          <w:rFonts w:hint="eastAsia" w:hAnsi="宋体"/>
          <w:color w:val="000000"/>
          <w:kern w:val="2"/>
          <w:sz w:val="21"/>
          <w:szCs w:val="24"/>
        </w:rPr>
        <w:t>6.2.1根据《国家发展改革委办公厅 市场监管总局办公厅关于加快推进重点用能单位能耗在线监测系统建设的通知》（发改办环资〔2019〕424号）和《河南省发展和改革委员会 河南省市场监督管理局关于进一步加快推进全省重点用能单位能耗在线监测系统建设的通知》（豫发改环资〔2019〕477号）要求，参照《河南省重点用能单位能耗在线监测端系统与省级平台对接指南》，完成洛阳万基宏远电力有限公司能耗在线监测系统的设计、施工、调试、数据对接、验收等工作，包括但不限于上述工作。</w:t>
      </w:r>
    </w:p>
    <w:p w14:paraId="23BA0080">
      <w:pPr>
        <w:pStyle w:val="236"/>
        <w:autoSpaceDE w:val="0"/>
        <w:autoSpaceDN w:val="0"/>
        <w:snapToGrid w:val="0"/>
        <w:spacing w:after="0" w:line="360" w:lineRule="auto"/>
        <w:ind w:firstLine="0"/>
        <w:rPr>
          <w:rFonts w:hint="eastAsia" w:hAnsi="宋体"/>
          <w:color w:val="000000"/>
          <w:kern w:val="2"/>
          <w:sz w:val="21"/>
          <w:szCs w:val="24"/>
        </w:rPr>
      </w:pPr>
      <w:r>
        <w:rPr>
          <w:rFonts w:hint="eastAsia" w:hAnsi="宋体"/>
          <w:color w:val="000000"/>
          <w:kern w:val="2"/>
          <w:sz w:val="21"/>
          <w:szCs w:val="24"/>
        </w:rPr>
        <w:t>6.2.2运行维护</w:t>
      </w:r>
    </w:p>
    <w:p w14:paraId="31B1EBCB">
      <w:pPr>
        <w:pStyle w:val="236"/>
        <w:autoSpaceDE w:val="0"/>
        <w:autoSpaceDN w:val="0"/>
        <w:snapToGrid w:val="0"/>
        <w:spacing w:line="360" w:lineRule="auto"/>
        <w:ind w:firstLine="367" w:firstLineChars="175"/>
        <w:rPr>
          <w:b/>
          <w:bCs/>
        </w:rPr>
      </w:pPr>
      <w:r>
        <w:rPr>
          <w:rFonts w:hint="eastAsia" w:hAnsi="宋体"/>
          <w:color w:val="000000"/>
          <w:kern w:val="2"/>
          <w:sz w:val="21"/>
          <w:szCs w:val="24"/>
        </w:rPr>
        <w:t>该系统质保期一年，即系统投入正式运行（甲方数据正常上传至省平台或国家平台开始计算，以先上传为准）起一年内，乙方提供7×24小时免费运维服务，如遇紧急情况要求8小时内运维人员抵达现场，24小时内处理完毕。</w:t>
      </w:r>
    </w:p>
    <w:p w14:paraId="11AF948E">
      <w:pPr>
        <w:spacing w:line="360" w:lineRule="auto"/>
        <w:jc w:val="left"/>
        <w:rPr>
          <w:rFonts w:hint="eastAsia" w:asciiTheme="minorEastAsia" w:hAnsiTheme="minorEastAsia" w:eastAsiaTheme="minorEastAsia" w:cstheme="minorEastAsia"/>
          <w:b/>
          <w:bCs/>
          <w:snapToGrid w:val="0"/>
          <w:kern w:val="0"/>
          <w:szCs w:val="21"/>
        </w:rPr>
      </w:pPr>
      <w:r>
        <w:rPr>
          <w:rFonts w:hint="eastAsia" w:asciiTheme="minorEastAsia" w:hAnsiTheme="minorEastAsia" w:eastAsiaTheme="minorEastAsia" w:cstheme="minorEastAsia"/>
          <w:b/>
          <w:bCs/>
        </w:rPr>
        <w:t>七、</w:t>
      </w:r>
      <w:r>
        <w:rPr>
          <w:rFonts w:hint="eastAsia" w:asciiTheme="minorEastAsia" w:hAnsiTheme="minorEastAsia" w:eastAsiaTheme="minorEastAsia" w:cstheme="minorEastAsia"/>
          <w:b/>
          <w:bCs/>
          <w:snapToGrid w:val="0"/>
          <w:kern w:val="0"/>
          <w:szCs w:val="21"/>
        </w:rPr>
        <w:t>安健环管理</w:t>
      </w:r>
    </w:p>
    <w:p w14:paraId="17E2BBD8">
      <w:pPr>
        <w:spacing w:line="360" w:lineRule="auto"/>
        <w:ind w:firstLine="420" w:firstLineChars="200"/>
        <w:jc w:val="left"/>
        <w:rPr>
          <w:szCs w:val="21"/>
        </w:rPr>
      </w:pPr>
      <w:r>
        <w:rPr>
          <w:rFonts w:hint="eastAsia"/>
          <w:szCs w:val="21"/>
        </w:rPr>
        <w:t>贯彻“安全第一，预防为主，综合治理”的安全生产方针，严格遵守国家《安全生产法》、《建设工程安全生产管理条例》等有关安全生产和环境保护的法律法规、规范标准及相关要求，严格遵守《电力安全工作规程》和</w:t>
      </w:r>
      <w:r>
        <w:rPr>
          <w:rFonts w:hint="eastAsia" w:hAnsi="宋体"/>
          <w:color w:val="000000"/>
        </w:rPr>
        <w:t>洛阳万基宏远电力有限公司</w:t>
      </w:r>
      <w:r>
        <w:rPr>
          <w:rFonts w:hint="eastAsia"/>
          <w:szCs w:val="21"/>
        </w:rPr>
        <w:t>的有关安全文明施工和环境保护管理规定，以有效落实安全生产责任为宗旨，以安全标准化管理为手段，全面执行安全“六化”管理（即安全管理制度化、安全设施标准化、现场布置条理化、机料摆放定置化、作业行为规范化、环境影响最小化），全面接受招标人的监督、管理、检查，确保施工人员的安全和健康、甲方财产免遭损失，环境免遭破坏。保证安全施工、文明施工、绿色施工。</w:t>
      </w:r>
    </w:p>
    <w:p w14:paraId="704D000B">
      <w:pPr>
        <w:spacing w:line="360" w:lineRule="auto"/>
        <w:ind w:firstLine="420" w:firstLineChars="200"/>
        <w:jc w:val="left"/>
        <w:rPr>
          <w:szCs w:val="21"/>
        </w:rPr>
      </w:pPr>
      <w:r>
        <w:rPr>
          <w:rFonts w:hint="eastAsia"/>
          <w:szCs w:val="21"/>
        </w:rPr>
        <w:t>保持施工场所整洁，做到“工完、料尽、场地清”，设备材料堆放有序、标识清楚，保持施工道路畅通，保持排水设施完好；</w:t>
      </w:r>
    </w:p>
    <w:p w14:paraId="55079723">
      <w:pPr>
        <w:spacing w:line="360" w:lineRule="auto"/>
        <w:ind w:firstLine="420" w:firstLineChars="200"/>
        <w:jc w:val="left"/>
        <w:rPr>
          <w:szCs w:val="21"/>
        </w:rPr>
      </w:pPr>
      <w:r>
        <w:rPr>
          <w:rFonts w:hint="eastAsia"/>
          <w:szCs w:val="21"/>
        </w:rPr>
        <w:t>场区文明施工标志、重点防火部位标志及紧急救护标志醒目、齐全；</w:t>
      </w:r>
    </w:p>
    <w:p w14:paraId="1F3DFE59">
      <w:pPr>
        <w:spacing w:line="360" w:lineRule="auto"/>
        <w:ind w:firstLine="420" w:firstLineChars="200"/>
        <w:jc w:val="left"/>
        <w:rPr>
          <w:szCs w:val="21"/>
        </w:rPr>
      </w:pPr>
      <w:r>
        <w:rPr>
          <w:rFonts w:hint="eastAsia"/>
          <w:szCs w:val="21"/>
        </w:rPr>
        <w:t>临时建筑设施布置得当，搭设合理，责任区划内环境整洁、道路平坦、排水畅通；</w:t>
      </w:r>
    </w:p>
    <w:p w14:paraId="28534DA3">
      <w:pPr>
        <w:spacing w:line="360" w:lineRule="auto"/>
        <w:ind w:firstLine="420" w:firstLineChars="200"/>
        <w:jc w:val="left"/>
        <w:rPr>
          <w:szCs w:val="21"/>
        </w:rPr>
      </w:pPr>
      <w:r>
        <w:rPr>
          <w:rFonts w:hint="eastAsia"/>
          <w:szCs w:val="21"/>
        </w:rPr>
        <w:t>成品保护做到责任落实、措施具体、执行到位，杜绝二次污染。</w:t>
      </w:r>
    </w:p>
    <w:p w14:paraId="1ED62DA0">
      <w:pPr>
        <w:spacing w:line="360" w:lineRule="auto"/>
        <w:jc w:val="left"/>
        <w:rPr>
          <w:b/>
          <w:bCs/>
          <w:szCs w:val="21"/>
        </w:rPr>
      </w:pPr>
      <w:r>
        <w:rPr>
          <w:rFonts w:hint="eastAsia"/>
          <w:b/>
          <w:bCs/>
          <w:szCs w:val="21"/>
        </w:rPr>
        <w:t>八、甲供材：</w:t>
      </w:r>
    </w:p>
    <w:p w14:paraId="19A10A93">
      <w:pPr>
        <w:spacing w:line="360" w:lineRule="auto"/>
        <w:jc w:val="left"/>
        <w:rPr>
          <w:b/>
          <w:bCs/>
          <w:szCs w:val="21"/>
        </w:rPr>
      </w:pPr>
      <w:r>
        <w:rPr>
          <w:rFonts w:hint="eastAsia"/>
          <w:b/>
          <w:bCs/>
          <w:szCs w:val="21"/>
        </w:rPr>
        <w:t>1、甲供材：无。</w:t>
      </w:r>
    </w:p>
    <w:p w14:paraId="521F6CC3">
      <w:pPr>
        <w:pStyle w:val="48"/>
        <w:ind w:left="0" w:leftChars="0" w:firstLine="0" w:firstLineChars="0"/>
        <w:rPr>
          <w:b/>
          <w:bCs/>
          <w:szCs w:val="21"/>
        </w:rPr>
      </w:pPr>
      <w:r>
        <w:rPr>
          <w:rFonts w:hint="eastAsia"/>
          <w:b/>
          <w:bCs/>
          <w:szCs w:val="21"/>
        </w:rPr>
        <w:t>2、乙方须自备的乙供材：</w:t>
      </w:r>
    </w:p>
    <w:p w14:paraId="1A9C59FF">
      <w:pPr>
        <w:spacing w:line="360" w:lineRule="auto"/>
        <w:jc w:val="left"/>
        <w:rPr>
          <w:szCs w:val="21"/>
        </w:rPr>
      </w:pPr>
      <w:r>
        <w:rPr>
          <w:rFonts w:hint="eastAsia"/>
          <w:szCs w:val="21"/>
        </w:rPr>
        <w:t>为完成工作所必需的软件、硬件及工具由乙方提供。</w:t>
      </w:r>
    </w:p>
    <w:p w14:paraId="7B35475A">
      <w:pPr>
        <w:spacing w:line="360" w:lineRule="auto"/>
        <w:rPr>
          <w:rFonts w:hint="eastAsia" w:hAnsi="宋体"/>
          <w:b/>
          <w:sz w:val="22"/>
          <w:szCs w:val="22"/>
          <w:shd w:val="clear" w:color="auto" w:fill="FFFFFF"/>
        </w:rPr>
      </w:pPr>
      <w:bookmarkStart w:id="155" w:name="_Toc24008143"/>
      <w:bookmarkStart w:id="156" w:name="_Toc13148833"/>
      <w:r>
        <w:rPr>
          <w:rFonts w:hAnsi="宋体"/>
          <w:b/>
          <w:sz w:val="22"/>
          <w:szCs w:val="22"/>
          <w:shd w:val="clear" w:color="auto" w:fill="FFFFFF"/>
        </w:rPr>
        <w:t>九、验收标准和方式</w:t>
      </w:r>
      <w:bookmarkEnd w:id="155"/>
      <w:bookmarkEnd w:id="156"/>
    </w:p>
    <w:p w14:paraId="45FF3EFB">
      <w:pPr>
        <w:spacing w:line="360" w:lineRule="auto"/>
        <w:jc w:val="left"/>
        <w:rPr>
          <w:rFonts w:hint="eastAsia" w:ascii="宋体" w:hAnsi="宋体"/>
          <w:szCs w:val="21"/>
        </w:rPr>
      </w:pPr>
      <w:r>
        <w:rPr>
          <w:rFonts w:hint="eastAsia" w:ascii="宋体" w:hAnsi="宋体"/>
          <w:szCs w:val="21"/>
        </w:rPr>
        <w:t>1、验收程序：技术服务在合同规定的服务期满，由乙方提供维护总结报告并经过甲方审核后验收。</w:t>
      </w:r>
    </w:p>
    <w:p w14:paraId="6C20039D">
      <w:pPr>
        <w:spacing w:line="360" w:lineRule="auto"/>
        <w:jc w:val="left"/>
        <w:rPr>
          <w:rFonts w:hint="eastAsia" w:ascii="宋体" w:hAnsi="宋体"/>
          <w:szCs w:val="21"/>
        </w:rPr>
      </w:pPr>
      <w:r>
        <w:rPr>
          <w:rFonts w:hint="eastAsia" w:ascii="宋体" w:hAnsi="宋体"/>
          <w:szCs w:val="21"/>
        </w:rPr>
        <w:t>2、验收依据：乙方完成本合同所规定的服务内容。</w:t>
      </w:r>
    </w:p>
    <w:p w14:paraId="23379579">
      <w:pPr>
        <w:pStyle w:val="236"/>
        <w:autoSpaceDE w:val="0"/>
        <w:autoSpaceDN w:val="0"/>
        <w:snapToGrid w:val="0"/>
        <w:spacing w:after="0" w:line="360" w:lineRule="auto"/>
        <w:ind w:firstLine="0"/>
        <w:jc w:val="left"/>
        <w:rPr>
          <w:rFonts w:hint="eastAsia" w:hAnsi="宋体"/>
          <w:color w:val="000000"/>
          <w:kern w:val="2"/>
          <w:sz w:val="21"/>
          <w:szCs w:val="24"/>
        </w:rPr>
      </w:pPr>
      <w:r>
        <w:rPr>
          <w:rFonts w:hint="eastAsia" w:hAnsi="宋体"/>
          <w:color w:val="000000"/>
          <w:kern w:val="2"/>
          <w:sz w:val="21"/>
          <w:szCs w:val="24"/>
        </w:rPr>
        <w:t>3、乙方保证所提供的设备、装置、材料，符合国家标准要求；</w:t>
      </w:r>
    </w:p>
    <w:p w14:paraId="266E0B1D">
      <w:pPr>
        <w:pStyle w:val="236"/>
        <w:autoSpaceDE w:val="0"/>
        <w:autoSpaceDN w:val="0"/>
        <w:snapToGrid w:val="0"/>
        <w:spacing w:after="0" w:line="360" w:lineRule="auto"/>
        <w:ind w:firstLine="0"/>
        <w:jc w:val="left"/>
        <w:rPr>
          <w:rFonts w:hint="eastAsia" w:hAnsi="宋体"/>
          <w:color w:val="000000"/>
          <w:kern w:val="2"/>
          <w:sz w:val="21"/>
          <w:szCs w:val="24"/>
        </w:rPr>
      </w:pPr>
      <w:r>
        <w:rPr>
          <w:rFonts w:hint="eastAsia" w:hAnsi="宋体"/>
          <w:color w:val="000000"/>
          <w:kern w:val="2"/>
          <w:sz w:val="21"/>
          <w:szCs w:val="24"/>
        </w:rPr>
        <w:t>4、乙方对工厂内测试及出厂检验都应出具相关的报告和合格证。</w:t>
      </w:r>
    </w:p>
    <w:p w14:paraId="66AD2E4D">
      <w:pPr>
        <w:pStyle w:val="48"/>
        <w:ind w:left="0" w:leftChars="0" w:firstLine="0" w:firstLineChars="0"/>
      </w:pPr>
    </w:p>
    <w:p w14:paraId="1CD626DA">
      <w:pPr>
        <w:pStyle w:val="45"/>
        <w:spacing w:before="0" w:after="0" w:line="360" w:lineRule="auto"/>
        <w:ind w:firstLine="420" w:firstLineChars="200"/>
        <w:jc w:val="left"/>
        <w:outlineLvl w:val="9"/>
        <w:rPr>
          <w:rFonts w:hint="eastAsia" w:ascii="宋体" w:hAnsi="宋体"/>
          <w:b w:val="0"/>
          <w:sz w:val="21"/>
          <w:szCs w:val="24"/>
          <w:shd w:val="clear" w:color="auto" w:fill="FFFFFF"/>
        </w:rPr>
      </w:pPr>
    </w:p>
    <w:p w14:paraId="0A961C43">
      <w:pPr>
        <w:spacing w:before="41" w:line="221" w:lineRule="auto"/>
        <w:ind w:firstLine="442" w:firstLineChars="100"/>
        <w:rPr>
          <w:rFonts w:hint="eastAsia" w:ascii="宋体" w:hAnsi="宋体"/>
          <w:b/>
          <w:sz w:val="44"/>
          <w:szCs w:val="44"/>
        </w:rPr>
      </w:pPr>
    </w:p>
    <w:sectPr>
      <w:footerReference r:id="rId9" w:type="default"/>
      <w:pgSz w:w="11906" w:h="16838"/>
      <w:pgMar w:top="1440" w:right="1797" w:bottom="1440" w:left="179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小标宋">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宋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4581D">
    <w:pPr>
      <w:pStyle w:val="3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E391E">
    <w:pPr>
      <w:pStyle w:val="3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F7FE7">
    <w:pPr>
      <w:pStyle w:val="3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39597862"/>
      <w:docPartObj>
        <w:docPartGallery w:val="autotext"/>
      </w:docPartObj>
    </w:sdtPr>
    <w:sdtContent>
      <w:sdt>
        <w:sdtPr>
          <w:id w:val="1728636285"/>
          <w:docPartObj>
            <w:docPartGallery w:val="autotext"/>
          </w:docPartObj>
        </w:sdtPr>
        <w:sdtContent>
          <w:p w14:paraId="2024D6A2">
            <w:pPr>
              <w:pStyle w:val="31"/>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3A0499D4">
    <w:pPr>
      <w:pStyle w:val="3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B6DA4">
    <w:pPr>
      <w:spacing w:before="0" w:line="220" w:lineRule="exact"/>
      <w:ind w:left="5039" w:leftChars="171" w:right="0" w:hanging="4680" w:hangingChars="2600"/>
      <w:jc w:val="left"/>
      <w:rPr>
        <w:rFonts w:hint="default" w:eastAsia="宋体"/>
        <w:lang w:val="en-US" w:eastAsia="zh-CN"/>
      </w:rPr>
    </w:pPr>
    <w:r>
      <w:rPr>
        <w:rFonts w:hint="eastAsia"/>
        <w:sz w:val="18"/>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FF006">
    <w:pPr>
      <w:pStyle w:val="3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D7117">
    <w:pPr>
      <w:pStyle w:val="3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A61E1E"/>
    <w:multiLevelType w:val="multilevel"/>
    <w:tmpl w:val="07A61E1E"/>
    <w:lvl w:ilvl="0" w:tentative="0">
      <w:start w:val="1"/>
      <w:numFmt w:val="decimal"/>
      <w:lvlText w:val="%1."/>
      <w:lvlJc w:val="left"/>
      <w:pPr>
        <w:ind w:left="900" w:hanging="420"/>
      </w:pPr>
      <w:rPr>
        <w:rFonts w:hint="default" w:ascii="Arial" w:hAnsi="Arial" w:cs="Arial"/>
      </w:rPr>
    </w:lvl>
    <w:lvl w:ilvl="1" w:tentative="0">
      <w:start w:val="1"/>
      <w:numFmt w:val="decimalEnclosedCircle"/>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0E9A6F74"/>
    <w:multiLevelType w:val="multilevel"/>
    <w:tmpl w:val="0E9A6F74"/>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58C4816"/>
    <w:multiLevelType w:val="multilevel"/>
    <w:tmpl w:val="158C4816"/>
    <w:lvl w:ilvl="0" w:tentative="0">
      <w:start w:val="1"/>
      <w:numFmt w:val="decimal"/>
      <w:lvlText w:val="%1."/>
      <w:lvlJc w:val="left"/>
      <w:pPr>
        <w:ind w:left="900" w:hanging="420"/>
      </w:pPr>
      <w:rPr>
        <w:rFonts w:hint="default" w:ascii="Arial" w:hAnsi="Arial" w:cs="Arial"/>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19452850"/>
    <w:multiLevelType w:val="multilevel"/>
    <w:tmpl w:val="19452850"/>
    <w:lvl w:ilvl="0" w:tentative="0">
      <w:start w:val="1"/>
      <w:numFmt w:val="decimal"/>
      <w:lvlText w:val="%1."/>
      <w:lvlJc w:val="left"/>
      <w:pPr>
        <w:ind w:left="900" w:hanging="420"/>
      </w:pPr>
      <w:rPr>
        <w:rFonts w:hint="default" w:ascii="Arial" w:hAnsi="Arial" w:eastAsia="仿宋" w:cs="Arial"/>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28E93A6A"/>
    <w:multiLevelType w:val="multilevel"/>
    <w:tmpl w:val="28E93A6A"/>
    <w:lvl w:ilvl="0" w:tentative="0">
      <w:start w:val="1"/>
      <w:numFmt w:val="decimal"/>
      <w:lvlText w:val="%1)"/>
      <w:lvlJc w:val="left"/>
      <w:pPr>
        <w:ind w:left="420" w:hanging="420"/>
      </w:pPr>
    </w:lvl>
    <w:lvl w:ilvl="1" w:tentative="0">
      <w:start w:val="1"/>
      <w:numFmt w:val="lowerLetter"/>
      <w:pStyle w:val="3"/>
      <w:lvlText w:val="%2)"/>
      <w:lvlJc w:val="left"/>
      <w:pPr>
        <w:ind w:left="840" w:hanging="420"/>
      </w:pPr>
    </w:lvl>
    <w:lvl w:ilvl="2" w:tentative="0">
      <w:start w:val="1"/>
      <w:numFmt w:val="lowerRoman"/>
      <w:pStyle w:val="4"/>
      <w:lvlText w:val="%3."/>
      <w:lvlJc w:val="right"/>
      <w:pPr>
        <w:ind w:left="1260" w:hanging="420"/>
      </w:pPr>
    </w:lvl>
    <w:lvl w:ilvl="3" w:tentative="0">
      <w:start w:val="1"/>
      <w:numFmt w:val="decimal"/>
      <w:pStyle w:val="5"/>
      <w:lvlText w:val="%4."/>
      <w:lvlJc w:val="left"/>
      <w:pPr>
        <w:ind w:left="1680" w:hanging="420"/>
      </w:pPr>
    </w:lvl>
    <w:lvl w:ilvl="4" w:tentative="0">
      <w:start w:val="1"/>
      <w:numFmt w:val="lowerLetter"/>
      <w:pStyle w:val="6"/>
      <w:lvlText w:val="%5)"/>
      <w:lvlJc w:val="left"/>
      <w:pPr>
        <w:ind w:left="2100" w:hanging="420"/>
      </w:pPr>
    </w:lvl>
    <w:lvl w:ilvl="5" w:tentative="0">
      <w:start w:val="1"/>
      <w:numFmt w:val="lowerRoman"/>
      <w:pStyle w:val="7"/>
      <w:lvlText w:val="%6."/>
      <w:lvlJc w:val="right"/>
      <w:pPr>
        <w:ind w:left="2520" w:hanging="420"/>
      </w:pPr>
    </w:lvl>
    <w:lvl w:ilvl="6" w:tentative="0">
      <w:start w:val="1"/>
      <w:numFmt w:val="decimal"/>
      <w:pStyle w:val="8"/>
      <w:lvlText w:val="%7."/>
      <w:lvlJc w:val="left"/>
      <w:pPr>
        <w:ind w:left="2940" w:hanging="420"/>
      </w:pPr>
    </w:lvl>
    <w:lvl w:ilvl="7" w:tentative="0">
      <w:start w:val="1"/>
      <w:numFmt w:val="lowerLetter"/>
      <w:pStyle w:val="9"/>
      <w:lvlText w:val="%8)"/>
      <w:lvlJc w:val="left"/>
      <w:pPr>
        <w:ind w:left="3360" w:hanging="420"/>
      </w:pPr>
    </w:lvl>
    <w:lvl w:ilvl="8" w:tentative="0">
      <w:start w:val="1"/>
      <w:numFmt w:val="lowerRoman"/>
      <w:pStyle w:val="10"/>
      <w:lvlText w:val="%9."/>
      <w:lvlJc w:val="right"/>
      <w:pPr>
        <w:ind w:left="3780" w:hanging="420"/>
      </w:pPr>
    </w:lvl>
  </w:abstractNum>
  <w:abstractNum w:abstractNumId="5">
    <w:nsid w:val="30D22150"/>
    <w:multiLevelType w:val="multilevel"/>
    <w:tmpl w:val="30D22150"/>
    <w:lvl w:ilvl="0" w:tentative="0">
      <w:start w:val="1"/>
      <w:numFmt w:val="decimal"/>
      <w:lvlText w:val="%1."/>
      <w:lvlJc w:val="left"/>
      <w:pPr>
        <w:ind w:left="900" w:hanging="420"/>
      </w:pPr>
      <w:rPr>
        <w:rFonts w:hint="default" w:ascii="Arial" w:hAnsi="Arial" w:cs="Arial"/>
      </w:rPr>
    </w:lvl>
    <w:lvl w:ilvl="1" w:tentative="0">
      <w:start w:val="1"/>
      <w:numFmt w:val="decimalEnclosedCircle"/>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383C274C"/>
    <w:multiLevelType w:val="multilevel"/>
    <w:tmpl w:val="383C274C"/>
    <w:lvl w:ilvl="0" w:tentative="0">
      <w:start w:val="1"/>
      <w:numFmt w:val="decimal"/>
      <w:lvlText w:val="%1."/>
      <w:lvlJc w:val="left"/>
      <w:pPr>
        <w:ind w:left="900" w:hanging="420"/>
      </w:pPr>
      <w:rPr>
        <w:rFonts w:hint="default" w:ascii="Arial" w:hAnsi="Arial" w:cs="Arial"/>
      </w:rPr>
    </w:lvl>
    <w:lvl w:ilvl="1" w:tentative="0">
      <w:start w:val="1"/>
      <w:numFmt w:val="decimalEnclosedCircle"/>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397C0E02"/>
    <w:multiLevelType w:val="multilevel"/>
    <w:tmpl w:val="397C0E02"/>
    <w:lvl w:ilvl="0" w:tentative="0">
      <w:start w:val="1"/>
      <w:numFmt w:val="decimal"/>
      <w:lvlText w:val="%1."/>
      <w:lvlJc w:val="left"/>
      <w:pPr>
        <w:ind w:left="900" w:hanging="420"/>
      </w:pPr>
    </w:lvl>
    <w:lvl w:ilvl="1" w:tentative="0">
      <w:start w:val="1"/>
      <w:numFmt w:val="decimalEnclosedCircle"/>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3A3B166E"/>
    <w:multiLevelType w:val="multilevel"/>
    <w:tmpl w:val="3A3B166E"/>
    <w:lvl w:ilvl="0" w:tentative="0">
      <w:start w:val="1"/>
      <w:numFmt w:val="decimal"/>
      <w:lvlText w:val="%1."/>
      <w:lvlJc w:val="left"/>
      <w:pPr>
        <w:ind w:left="900" w:hanging="420"/>
      </w:pPr>
      <w:rPr>
        <w:rFonts w:hint="default" w:ascii="Arial" w:hAnsi="Arial" w:cs="Arial"/>
      </w:rPr>
    </w:lvl>
    <w:lvl w:ilvl="1" w:tentative="0">
      <w:start w:val="1"/>
      <w:numFmt w:val="decimalEnclosedCircle"/>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42917839"/>
    <w:multiLevelType w:val="multilevel"/>
    <w:tmpl w:val="42917839"/>
    <w:lvl w:ilvl="0" w:tentative="0">
      <w:start w:val="1"/>
      <w:numFmt w:val="decimal"/>
      <w:lvlText w:val="%1."/>
      <w:lvlJc w:val="left"/>
      <w:pPr>
        <w:ind w:left="900" w:hanging="420"/>
      </w:pPr>
      <w:rPr>
        <w:rFonts w:hint="default" w:ascii="Arial" w:hAnsi="Arial" w:eastAsia="仿宋" w:cs="Arial"/>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4632354C"/>
    <w:multiLevelType w:val="multilevel"/>
    <w:tmpl w:val="4632354C"/>
    <w:lvl w:ilvl="0" w:tentative="0">
      <w:start w:val="1"/>
      <w:numFmt w:val="decimal"/>
      <w:lvlText w:val="%1."/>
      <w:lvlJc w:val="left"/>
      <w:pPr>
        <w:ind w:left="900" w:hanging="420"/>
      </w:pPr>
      <w:rPr>
        <w:rFonts w:hint="default" w:ascii="Arial" w:hAnsi="Arial" w:cs="Arial"/>
      </w:rPr>
    </w:lvl>
    <w:lvl w:ilvl="1" w:tentative="0">
      <w:start w:val="1"/>
      <w:numFmt w:val="decimalEnclosedCircle"/>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1">
    <w:nsid w:val="475A12E5"/>
    <w:multiLevelType w:val="multilevel"/>
    <w:tmpl w:val="475A12E5"/>
    <w:lvl w:ilvl="0" w:tentative="0">
      <w:start w:val="1"/>
      <w:numFmt w:val="decimal"/>
      <w:lvlText w:val="4.%1."/>
      <w:lvlJc w:val="left"/>
      <w:pPr>
        <w:ind w:left="840" w:hanging="420"/>
      </w:pPr>
      <w:rPr>
        <w:rFonts w:hint="default" w:ascii="Arial" w:hAnsi="Arial" w:cs="Aria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80D6B76"/>
    <w:multiLevelType w:val="multilevel"/>
    <w:tmpl w:val="480D6B76"/>
    <w:lvl w:ilvl="0" w:tentative="0">
      <w:start w:val="1"/>
      <w:numFmt w:val="decimal"/>
      <w:lvlText w:val="%1."/>
      <w:lvlJc w:val="left"/>
      <w:pPr>
        <w:ind w:left="900" w:hanging="420"/>
      </w:pPr>
      <w:rPr>
        <w:rFonts w:hint="default" w:ascii="Arial" w:hAnsi="Arial" w:cs="Arial"/>
      </w:rPr>
    </w:lvl>
    <w:lvl w:ilvl="1" w:tentative="0">
      <w:start w:val="1"/>
      <w:numFmt w:val="decimalEnclosedCircle"/>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3">
    <w:nsid w:val="4E927794"/>
    <w:multiLevelType w:val="multilevel"/>
    <w:tmpl w:val="4E927794"/>
    <w:lvl w:ilvl="0" w:tentative="0">
      <w:start w:val="1"/>
      <w:numFmt w:val="decimal"/>
      <w:lvlText w:val="1.%1."/>
      <w:lvlJc w:val="left"/>
      <w:pPr>
        <w:ind w:left="840" w:hanging="420"/>
      </w:pPr>
      <w:rPr>
        <w:rFonts w:hint="default" w:ascii="Arial" w:hAnsi="Arial" w:cs="Aria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1D17ED0"/>
    <w:multiLevelType w:val="multilevel"/>
    <w:tmpl w:val="51D17ED0"/>
    <w:lvl w:ilvl="0" w:tentative="0">
      <w:start w:val="1"/>
      <w:numFmt w:val="decimal"/>
      <w:lvlText w:val="%1."/>
      <w:lvlJc w:val="left"/>
      <w:pPr>
        <w:ind w:left="900" w:hanging="420"/>
      </w:pPr>
      <w:rPr>
        <w:rFonts w:hint="default" w:ascii="Arial" w:hAnsi="Arial" w:cs="Arial"/>
      </w:rPr>
    </w:lvl>
    <w:lvl w:ilvl="1" w:tentative="0">
      <w:start w:val="1"/>
      <w:numFmt w:val="decimalEnclosedCircle"/>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5">
    <w:nsid w:val="552F2905"/>
    <w:multiLevelType w:val="multilevel"/>
    <w:tmpl w:val="552F2905"/>
    <w:lvl w:ilvl="0" w:tentative="0">
      <w:start w:val="1"/>
      <w:numFmt w:val="decimal"/>
      <w:lvlText w:val="4.%1."/>
      <w:lvlJc w:val="left"/>
      <w:pPr>
        <w:ind w:left="900" w:hanging="420"/>
      </w:pPr>
      <w:rPr>
        <w:rFonts w:hint="eastAsia"/>
      </w:rPr>
    </w:lvl>
    <w:lvl w:ilvl="1" w:tentative="0">
      <w:start w:val="1"/>
      <w:numFmt w:val="decimal"/>
      <w:lvlText w:val="4.%2."/>
      <w:lvlJc w:val="left"/>
      <w:pPr>
        <w:ind w:left="1186" w:hanging="420"/>
      </w:pPr>
      <w:rPr>
        <w:rFonts w:hint="default" w:ascii="Arial" w:hAnsi="Arial" w:cs="Arial"/>
        <w:b w:val="0"/>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AE2622B"/>
    <w:multiLevelType w:val="multilevel"/>
    <w:tmpl w:val="5AE2622B"/>
    <w:lvl w:ilvl="0" w:tentative="0">
      <w:start w:val="1"/>
      <w:numFmt w:val="decimal"/>
      <w:lvlText w:val="2.%1."/>
      <w:lvlJc w:val="left"/>
      <w:pPr>
        <w:ind w:left="84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5B0F11D4"/>
    <w:multiLevelType w:val="multilevel"/>
    <w:tmpl w:val="5B0F11D4"/>
    <w:lvl w:ilvl="0" w:tentative="0">
      <w:start w:val="1"/>
      <w:numFmt w:val="decimal"/>
      <w:lvlText w:val="3.%1."/>
      <w:lvlJc w:val="left"/>
      <w:pPr>
        <w:ind w:left="840" w:hanging="420"/>
      </w:pPr>
      <w:rPr>
        <w:rFonts w:hint="default" w:ascii="Arial" w:hAnsi="Arial" w:cs="Aria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EC202FF"/>
    <w:multiLevelType w:val="multilevel"/>
    <w:tmpl w:val="5EC202FF"/>
    <w:lvl w:ilvl="0" w:tentative="0">
      <w:start w:val="1"/>
      <w:numFmt w:val="decimal"/>
      <w:lvlText w:val="%1."/>
      <w:lvlJc w:val="left"/>
      <w:pPr>
        <w:ind w:left="900" w:hanging="420"/>
      </w:pPr>
      <w:rPr>
        <w:rFonts w:hint="default" w:ascii="Arial" w:hAnsi="Arial" w:cs="Arial"/>
      </w:rPr>
    </w:lvl>
    <w:lvl w:ilvl="1" w:tentative="0">
      <w:start w:val="1"/>
      <w:numFmt w:val="decimalEnclosedCircle"/>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9">
    <w:nsid w:val="647226A5"/>
    <w:multiLevelType w:val="multilevel"/>
    <w:tmpl w:val="647226A5"/>
    <w:lvl w:ilvl="0" w:tentative="0">
      <w:start w:val="1"/>
      <w:numFmt w:val="decimal"/>
      <w:lvlText w:val="%1."/>
      <w:lvlJc w:val="left"/>
      <w:pPr>
        <w:ind w:left="900" w:hanging="420"/>
      </w:pPr>
      <w:rPr>
        <w:rFonts w:hint="default" w:ascii="Arial" w:hAnsi="Arial" w:cs="Arial"/>
      </w:rPr>
    </w:lvl>
    <w:lvl w:ilvl="1" w:tentative="0">
      <w:start w:val="1"/>
      <w:numFmt w:val="decimalEnclosedCircle"/>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0">
    <w:nsid w:val="6DE07B63"/>
    <w:multiLevelType w:val="multilevel"/>
    <w:tmpl w:val="6DE07B63"/>
    <w:lvl w:ilvl="0" w:tentative="0">
      <w:start w:val="1"/>
      <w:numFmt w:val="decimal"/>
      <w:lvlText w:val="%1."/>
      <w:lvlJc w:val="left"/>
      <w:pPr>
        <w:ind w:left="900" w:hanging="420"/>
      </w:pPr>
      <w:rPr>
        <w:rFonts w:hint="default" w:ascii="Arial" w:hAnsi="Arial" w:cs="Arial"/>
      </w:rPr>
    </w:lvl>
    <w:lvl w:ilvl="1" w:tentative="0">
      <w:start w:val="1"/>
      <w:numFmt w:val="decimalEnclosedCircle"/>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1">
    <w:nsid w:val="6E377B2C"/>
    <w:multiLevelType w:val="multilevel"/>
    <w:tmpl w:val="6E377B2C"/>
    <w:lvl w:ilvl="0" w:tentative="0">
      <w:start w:val="1"/>
      <w:numFmt w:val="decimal"/>
      <w:lvlText w:val="%1."/>
      <w:lvlJc w:val="left"/>
      <w:pPr>
        <w:ind w:left="900" w:hanging="420"/>
      </w:pPr>
      <w:rPr>
        <w:rFonts w:hint="default" w:ascii="Arial" w:hAnsi="Arial" w:cs="Arial"/>
      </w:rPr>
    </w:lvl>
    <w:lvl w:ilvl="1" w:tentative="0">
      <w:start w:val="1"/>
      <w:numFmt w:val="decimalEnclosedCircle"/>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2">
    <w:nsid w:val="7F5F3204"/>
    <w:multiLevelType w:val="multilevel"/>
    <w:tmpl w:val="7F5F3204"/>
    <w:lvl w:ilvl="0" w:tentative="0">
      <w:start w:val="1"/>
      <w:numFmt w:val="decimal"/>
      <w:lvlText w:val="%1."/>
      <w:lvlJc w:val="left"/>
      <w:pPr>
        <w:ind w:left="900" w:hanging="420"/>
      </w:pPr>
      <w:rPr>
        <w:rFonts w:hint="default" w:ascii="Arial" w:hAnsi="Arial" w:cs="Arial"/>
      </w:rPr>
    </w:lvl>
    <w:lvl w:ilvl="1" w:tentative="0">
      <w:start w:val="1"/>
      <w:numFmt w:val="decimalEnclosedCircle"/>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4"/>
  </w:num>
  <w:num w:numId="2">
    <w:abstractNumId w:val="2"/>
  </w:num>
  <w:num w:numId="3">
    <w:abstractNumId w:val="3"/>
  </w:num>
  <w:num w:numId="4">
    <w:abstractNumId w:val="9"/>
  </w:num>
  <w:num w:numId="5">
    <w:abstractNumId w:val="15"/>
  </w:num>
  <w:num w:numId="6">
    <w:abstractNumId w:val="5"/>
  </w:num>
  <w:num w:numId="7">
    <w:abstractNumId w:val="13"/>
  </w:num>
  <w:num w:numId="8">
    <w:abstractNumId w:val="16"/>
  </w:num>
  <w:num w:numId="9">
    <w:abstractNumId w:val="17"/>
  </w:num>
  <w:num w:numId="10">
    <w:abstractNumId w:val="11"/>
  </w:num>
  <w:num w:numId="11">
    <w:abstractNumId w:val="10"/>
  </w:num>
  <w:num w:numId="12">
    <w:abstractNumId w:val="19"/>
  </w:num>
  <w:num w:numId="13">
    <w:abstractNumId w:val="0"/>
  </w:num>
  <w:num w:numId="14">
    <w:abstractNumId w:val="18"/>
  </w:num>
  <w:num w:numId="15">
    <w:abstractNumId w:val="21"/>
  </w:num>
  <w:num w:numId="16">
    <w:abstractNumId w:val="8"/>
  </w:num>
  <w:num w:numId="17">
    <w:abstractNumId w:val="12"/>
  </w:num>
  <w:num w:numId="18">
    <w:abstractNumId w:val="22"/>
  </w:num>
  <w:num w:numId="19">
    <w:abstractNumId w:val="7"/>
  </w:num>
  <w:num w:numId="20">
    <w:abstractNumId w:val="14"/>
  </w:num>
  <w:num w:numId="21">
    <w:abstractNumId w:val="20"/>
  </w:num>
  <w:num w:numId="22">
    <w:abstractNumId w:val="6"/>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D1"/>
    <w:rsid w:val="0000054C"/>
    <w:rsid w:val="00014958"/>
    <w:rsid w:val="00017E22"/>
    <w:rsid w:val="00035243"/>
    <w:rsid w:val="0004169B"/>
    <w:rsid w:val="00063AE7"/>
    <w:rsid w:val="00063FB0"/>
    <w:rsid w:val="0007561B"/>
    <w:rsid w:val="000769D9"/>
    <w:rsid w:val="00084A8A"/>
    <w:rsid w:val="00084AF9"/>
    <w:rsid w:val="00087117"/>
    <w:rsid w:val="00091A95"/>
    <w:rsid w:val="00092C8A"/>
    <w:rsid w:val="00093456"/>
    <w:rsid w:val="000A430E"/>
    <w:rsid w:val="000A629A"/>
    <w:rsid w:val="000A63C8"/>
    <w:rsid w:val="000B3BC6"/>
    <w:rsid w:val="000B42D9"/>
    <w:rsid w:val="000B4A68"/>
    <w:rsid w:val="000C1544"/>
    <w:rsid w:val="000C7429"/>
    <w:rsid w:val="000D148B"/>
    <w:rsid w:val="000D2D3C"/>
    <w:rsid w:val="000E227E"/>
    <w:rsid w:val="000F09EB"/>
    <w:rsid w:val="00100ADC"/>
    <w:rsid w:val="00107C5A"/>
    <w:rsid w:val="00114267"/>
    <w:rsid w:val="00122D0C"/>
    <w:rsid w:val="00123226"/>
    <w:rsid w:val="001245FC"/>
    <w:rsid w:val="00125F20"/>
    <w:rsid w:val="001278AE"/>
    <w:rsid w:val="00135396"/>
    <w:rsid w:val="00143BAB"/>
    <w:rsid w:val="00147F6D"/>
    <w:rsid w:val="00152308"/>
    <w:rsid w:val="00154328"/>
    <w:rsid w:val="0015632D"/>
    <w:rsid w:val="00162169"/>
    <w:rsid w:val="00165765"/>
    <w:rsid w:val="00172A27"/>
    <w:rsid w:val="00177B74"/>
    <w:rsid w:val="001A14C6"/>
    <w:rsid w:val="001A2335"/>
    <w:rsid w:val="001B355C"/>
    <w:rsid w:val="001B4416"/>
    <w:rsid w:val="001B464F"/>
    <w:rsid w:val="001B7F79"/>
    <w:rsid w:val="001C149E"/>
    <w:rsid w:val="001C3096"/>
    <w:rsid w:val="001C457B"/>
    <w:rsid w:val="001D156A"/>
    <w:rsid w:val="001D19C8"/>
    <w:rsid w:val="001D5806"/>
    <w:rsid w:val="001D7CBC"/>
    <w:rsid w:val="001F212B"/>
    <w:rsid w:val="001F2D7E"/>
    <w:rsid w:val="002212E4"/>
    <w:rsid w:val="00221C74"/>
    <w:rsid w:val="002234D1"/>
    <w:rsid w:val="00224AC1"/>
    <w:rsid w:val="00234734"/>
    <w:rsid w:val="002502DE"/>
    <w:rsid w:val="00250DF9"/>
    <w:rsid w:val="00255C5F"/>
    <w:rsid w:val="00261BB2"/>
    <w:rsid w:val="00262E70"/>
    <w:rsid w:val="00263322"/>
    <w:rsid w:val="00264FE9"/>
    <w:rsid w:val="00265237"/>
    <w:rsid w:val="0028217A"/>
    <w:rsid w:val="00286D83"/>
    <w:rsid w:val="0029418D"/>
    <w:rsid w:val="00294589"/>
    <w:rsid w:val="00296F40"/>
    <w:rsid w:val="002A5FD4"/>
    <w:rsid w:val="002A7572"/>
    <w:rsid w:val="002C3BBA"/>
    <w:rsid w:val="002D109A"/>
    <w:rsid w:val="002D1AAA"/>
    <w:rsid w:val="002D25FD"/>
    <w:rsid w:val="002D4581"/>
    <w:rsid w:val="002F0FF9"/>
    <w:rsid w:val="002F446C"/>
    <w:rsid w:val="002F6B88"/>
    <w:rsid w:val="003008A2"/>
    <w:rsid w:val="00304A01"/>
    <w:rsid w:val="0030764D"/>
    <w:rsid w:val="003126F9"/>
    <w:rsid w:val="003132F4"/>
    <w:rsid w:val="00314435"/>
    <w:rsid w:val="00316343"/>
    <w:rsid w:val="00316EC2"/>
    <w:rsid w:val="00320E60"/>
    <w:rsid w:val="00331411"/>
    <w:rsid w:val="00333B55"/>
    <w:rsid w:val="00344EF8"/>
    <w:rsid w:val="0034757B"/>
    <w:rsid w:val="00347FCE"/>
    <w:rsid w:val="00361537"/>
    <w:rsid w:val="00367FE6"/>
    <w:rsid w:val="0037176B"/>
    <w:rsid w:val="003717D7"/>
    <w:rsid w:val="00372777"/>
    <w:rsid w:val="003748F2"/>
    <w:rsid w:val="003829EE"/>
    <w:rsid w:val="0038572F"/>
    <w:rsid w:val="00387328"/>
    <w:rsid w:val="0039674B"/>
    <w:rsid w:val="0039714B"/>
    <w:rsid w:val="003A040D"/>
    <w:rsid w:val="003A3FAE"/>
    <w:rsid w:val="003B2CBC"/>
    <w:rsid w:val="003B2DF9"/>
    <w:rsid w:val="003B46F1"/>
    <w:rsid w:val="003B77F0"/>
    <w:rsid w:val="003C2F57"/>
    <w:rsid w:val="003D157A"/>
    <w:rsid w:val="003D52A1"/>
    <w:rsid w:val="003D5736"/>
    <w:rsid w:val="003E00AE"/>
    <w:rsid w:val="003F2CE9"/>
    <w:rsid w:val="003F702E"/>
    <w:rsid w:val="004020C5"/>
    <w:rsid w:val="00407541"/>
    <w:rsid w:val="00417059"/>
    <w:rsid w:val="00420519"/>
    <w:rsid w:val="00427FD3"/>
    <w:rsid w:val="0043176C"/>
    <w:rsid w:val="00433169"/>
    <w:rsid w:val="00433ADF"/>
    <w:rsid w:val="00435497"/>
    <w:rsid w:val="00436068"/>
    <w:rsid w:val="00441FBA"/>
    <w:rsid w:val="00443687"/>
    <w:rsid w:val="00446EA7"/>
    <w:rsid w:val="00457BC3"/>
    <w:rsid w:val="00460296"/>
    <w:rsid w:val="00461CE9"/>
    <w:rsid w:val="00463ACF"/>
    <w:rsid w:val="004648CE"/>
    <w:rsid w:val="00465C67"/>
    <w:rsid w:val="00470A4A"/>
    <w:rsid w:val="004710CA"/>
    <w:rsid w:val="00471A96"/>
    <w:rsid w:val="00476A3A"/>
    <w:rsid w:val="00490210"/>
    <w:rsid w:val="004908D8"/>
    <w:rsid w:val="00495471"/>
    <w:rsid w:val="004B0881"/>
    <w:rsid w:val="004C3A41"/>
    <w:rsid w:val="004D2674"/>
    <w:rsid w:val="004D2CAC"/>
    <w:rsid w:val="004D37FA"/>
    <w:rsid w:val="004D5E99"/>
    <w:rsid w:val="004E2187"/>
    <w:rsid w:val="004E3186"/>
    <w:rsid w:val="004E59FB"/>
    <w:rsid w:val="004F0BB3"/>
    <w:rsid w:val="004F367A"/>
    <w:rsid w:val="004F6FCA"/>
    <w:rsid w:val="004F7266"/>
    <w:rsid w:val="00506F70"/>
    <w:rsid w:val="00514613"/>
    <w:rsid w:val="005221C9"/>
    <w:rsid w:val="005250A0"/>
    <w:rsid w:val="00530851"/>
    <w:rsid w:val="005311A5"/>
    <w:rsid w:val="005374D9"/>
    <w:rsid w:val="00537699"/>
    <w:rsid w:val="00540284"/>
    <w:rsid w:val="005410FE"/>
    <w:rsid w:val="00541729"/>
    <w:rsid w:val="00542117"/>
    <w:rsid w:val="00544ADB"/>
    <w:rsid w:val="005451C0"/>
    <w:rsid w:val="005549E6"/>
    <w:rsid w:val="00555326"/>
    <w:rsid w:val="00564C6A"/>
    <w:rsid w:val="005656DA"/>
    <w:rsid w:val="0056634D"/>
    <w:rsid w:val="0057392F"/>
    <w:rsid w:val="00580C8E"/>
    <w:rsid w:val="00585FE8"/>
    <w:rsid w:val="00586D5B"/>
    <w:rsid w:val="00590606"/>
    <w:rsid w:val="005A12BF"/>
    <w:rsid w:val="005A5382"/>
    <w:rsid w:val="005B3C59"/>
    <w:rsid w:val="005C0154"/>
    <w:rsid w:val="005C2BB7"/>
    <w:rsid w:val="005C4626"/>
    <w:rsid w:val="005D0195"/>
    <w:rsid w:val="005D069C"/>
    <w:rsid w:val="005D356E"/>
    <w:rsid w:val="005D5EC3"/>
    <w:rsid w:val="005D7384"/>
    <w:rsid w:val="005E369F"/>
    <w:rsid w:val="005F0514"/>
    <w:rsid w:val="00605CB3"/>
    <w:rsid w:val="0060755D"/>
    <w:rsid w:val="00621922"/>
    <w:rsid w:val="006302C6"/>
    <w:rsid w:val="00631F12"/>
    <w:rsid w:val="00633F47"/>
    <w:rsid w:val="00636282"/>
    <w:rsid w:val="00637BE5"/>
    <w:rsid w:val="0064219E"/>
    <w:rsid w:val="00642C82"/>
    <w:rsid w:val="00643A60"/>
    <w:rsid w:val="00645C47"/>
    <w:rsid w:val="006505E8"/>
    <w:rsid w:val="00650AE9"/>
    <w:rsid w:val="00651544"/>
    <w:rsid w:val="00656CBF"/>
    <w:rsid w:val="00657383"/>
    <w:rsid w:val="0067234C"/>
    <w:rsid w:val="0067632C"/>
    <w:rsid w:val="006807F0"/>
    <w:rsid w:val="00683D50"/>
    <w:rsid w:val="00683DB8"/>
    <w:rsid w:val="00686774"/>
    <w:rsid w:val="006A71E2"/>
    <w:rsid w:val="006C0AD7"/>
    <w:rsid w:val="006C0D2C"/>
    <w:rsid w:val="006C7BF6"/>
    <w:rsid w:val="006D1C7F"/>
    <w:rsid w:val="006E1A10"/>
    <w:rsid w:val="006E60DD"/>
    <w:rsid w:val="006E7716"/>
    <w:rsid w:val="006F1F39"/>
    <w:rsid w:val="006F3196"/>
    <w:rsid w:val="006F5F71"/>
    <w:rsid w:val="00704A18"/>
    <w:rsid w:val="00706CAD"/>
    <w:rsid w:val="0071702B"/>
    <w:rsid w:val="00717940"/>
    <w:rsid w:val="00727848"/>
    <w:rsid w:val="00734694"/>
    <w:rsid w:val="00744D57"/>
    <w:rsid w:val="007561F1"/>
    <w:rsid w:val="007641DF"/>
    <w:rsid w:val="0076591A"/>
    <w:rsid w:val="0077126E"/>
    <w:rsid w:val="00771B23"/>
    <w:rsid w:val="00773286"/>
    <w:rsid w:val="00774FCB"/>
    <w:rsid w:val="00776876"/>
    <w:rsid w:val="00780B4E"/>
    <w:rsid w:val="00780F4D"/>
    <w:rsid w:val="00781775"/>
    <w:rsid w:val="00781A62"/>
    <w:rsid w:val="00782EEE"/>
    <w:rsid w:val="00796ECA"/>
    <w:rsid w:val="007A0B55"/>
    <w:rsid w:val="007B1C1F"/>
    <w:rsid w:val="007B20A3"/>
    <w:rsid w:val="007B426B"/>
    <w:rsid w:val="007C0605"/>
    <w:rsid w:val="007C2853"/>
    <w:rsid w:val="007C393C"/>
    <w:rsid w:val="007C7177"/>
    <w:rsid w:val="007F10B8"/>
    <w:rsid w:val="007F123A"/>
    <w:rsid w:val="007F15C6"/>
    <w:rsid w:val="00804617"/>
    <w:rsid w:val="008069F5"/>
    <w:rsid w:val="0081003B"/>
    <w:rsid w:val="00812846"/>
    <w:rsid w:val="00820777"/>
    <w:rsid w:val="00827124"/>
    <w:rsid w:val="00827856"/>
    <w:rsid w:val="00834292"/>
    <w:rsid w:val="00834E46"/>
    <w:rsid w:val="00840153"/>
    <w:rsid w:val="00862764"/>
    <w:rsid w:val="00865851"/>
    <w:rsid w:val="008711A6"/>
    <w:rsid w:val="00873B06"/>
    <w:rsid w:val="00875A6C"/>
    <w:rsid w:val="00877F0C"/>
    <w:rsid w:val="00887503"/>
    <w:rsid w:val="008A0FB7"/>
    <w:rsid w:val="008A1037"/>
    <w:rsid w:val="008A30DB"/>
    <w:rsid w:val="008A402C"/>
    <w:rsid w:val="008A4D95"/>
    <w:rsid w:val="008B2B82"/>
    <w:rsid w:val="008B4000"/>
    <w:rsid w:val="008B4059"/>
    <w:rsid w:val="008C032A"/>
    <w:rsid w:val="008C4D82"/>
    <w:rsid w:val="008D1E20"/>
    <w:rsid w:val="008D21EC"/>
    <w:rsid w:val="008D3E13"/>
    <w:rsid w:val="008F3CEC"/>
    <w:rsid w:val="008F46E1"/>
    <w:rsid w:val="0091258E"/>
    <w:rsid w:val="00915112"/>
    <w:rsid w:val="00916ED8"/>
    <w:rsid w:val="00920AA4"/>
    <w:rsid w:val="00926538"/>
    <w:rsid w:val="00926A5C"/>
    <w:rsid w:val="00932694"/>
    <w:rsid w:val="00937FCC"/>
    <w:rsid w:val="009567EC"/>
    <w:rsid w:val="009724DD"/>
    <w:rsid w:val="00972CB7"/>
    <w:rsid w:val="00974939"/>
    <w:rsid w:val="009765FF"/>
    <w:rsid w:val="00976EBC"/>
    <w:rsid w:val="00982B8E"/>
    <w:rsid w:val="00984DB1"/>
    <w:rsid w:val="00987C5C"/>
    <w:rsid w:val="0099002E"/>
    <w:rsid w:val="00997DF3"/>
    <w:rsid w:val="009A065A"/>
    <w:rsid w:val="009A3B4E"/>
    <w:rsid w:val="009A4D70"/>
    <w:rsid w:val="009B0F0D"/>
    <w:rsid w:val="009B46A6"/>
    <w:rsid w:val="009B601C"/>
    <w:rsid w:val="009B6514"/>
    <w:rsid w:val="009B6811"/>
    <w:rsid w:val="009C1EC6"/>
    <w:rsid w:val="009C38FA"/>
    <w:rsid w:val="009C6F49"/>
    <w:rsid w:val="009D2D3D"/>
    <w:rsid w:val="009F0AF0"/>
    <w:rsid w:val="00A02A81"/>
    <w:rsid w:val="00A10171"/>
    <w:rsid w:val="00A10E90"/>
    <w:rsid w:val="00A16A7C"/>
    <w:rsid w:val="00A17293"/>
    <w:rsid w:val="00A17EFF"/>
    <w:rsid w:val="00A25D33"/>
    <w:rsid w:val="00A25DB0"/>
    <w:rsid w:val="00A418CD"/>
    <w:rsid w:val="00A42071"/>
    <w:rsid w:val="00A43126"/>
    <w:rsid w:val="00A63752"/>
    <w:rsid w:val="00A64FB2"/>
    <w:rsid w:val="00A65595"/>
    <w:rsid w:val="00A74369"/>
    <w:rsid w:val="00A7470F"/>
    <w:rsid w:val="00A75856"/>
    <w:rsid w:val="00A7786B"/>
    <w:rsid w:val="00A80992"/>
    <w:rsid w:val="00A8303B"/>
    <w:rsid w:val="00A85038"/>
    <w:rsid w:val="00AA6330"/>
    <w:rsid w:val="00AB36FB"/>
    <w:rsid w:val="00AB792C"/>
    <w:rsid w:val="00AC2570"/>
    <w:rsid w:val="00AC54D9"/>
    <w:rsid w:val="00AD0EE3"/>
    <w:rsid w:val="00AF63B1"/>
    <w:rsid w:val="00B01ED5"/>
    <w:rsid w:val="00B149F8"/>
    <w:rsid w:val="00B15581"/>
    <w:rsid w:val="00B2664C"/>
    <w:rsid w:val="00B32A94"/>
    <w:rsid w:val="00B32ABF"/>
    <w:rsid w:val="00B35A13"/>
    <w:rsid w:val="00B35A1D"/>
    <w:rsid w:val="00B553B7"/>
    <w:rsid w:val="00B57D1A"/>
    <w:rsid w:val="00B63370"/>
    <w:rsid w:val="00B710D8"/>
    <w:rsid w:val="00B71E11"/>
    <w:rsid w:val="00B76186"/>
    <w:rsid w:val="00B777F8"/>
    <w:rsid w:val="00B832DC"/>
    <w:rsid w:val="00B90678"/>
    <w:rsid w:val="00B91616"/>
    <w:rsid w:val="00B91A45"/>
    <w:rsid w:val="00B92639"/>
    <w:rsid w:val="00BA0789"/>
    <w:rsid w:val="00BA14BE"/>
    <w:rsid w:val="00BA75DD"/>
    <w:rsid w:val="00BB5A35"/>
    <w:rsid w:val="00BB6450"/>
    <w:rsid w:val="00BC39C3"/>
    <w:rsid w:val="00BE09FA"/>
    <w:rsid w:val="00BE75A7"/>
    <w:rsid w:val="00BF0614"/>
    <w:rsid w:val="00BF3318"/>
    <w:rsid w:val="00C12F21"/>
    <w:rsid w:val="00C23A41"/>
    <w:rsid w:val="00C26C29"/>
    <w:rsid w:val="00C3022A"/>
    <w:rsid w:val="00C31583"/>
    <w:rsid w:val="00C32279"/>
    <w:rsid w:val="00C376AB"/>
    <w:rsid w:val="00C424A1"/>
    <w:rsid w:val="00C424C9"/>
    <w:rsid w:val="00C46F5D"/>
    <w:rsid w:val="00C52E5C"/>
    <w:rsid w:val="00C572E2"/>
    <w:rsid w:val="00C8053E"/>
    <w:rsid w:val="00C81F73"/>
    <w:rsid w:val="00C831C5"/>
    <w:rsid w:val="00C834D2"/>
    <w:rsid w:val="00C85787"/>
    <w:rsid w:val="00C862A1"/>
    <w:rsid w:val="00C871C4"/>
    <w:rsid w:val="00C91DE0"/>
    <w:rsid w:val="00C93F19"/>
    <w:rsid w:val="00C94831"/>
    <w:rsid w:val="00CA7B36"/>
    <w:rsid w:val="00CB0ED3"/>
    <w:rsid w:val="00CB61CC"/>
    <w:rsid w:val="00CC3F31"/>
    <w:rsid w:val="00CC4A26"/>
    <w:rsid w:val="00CC6283"/>
    <w:rsid w:val="00CD3EA4"/>
    <w:rsid w:val="00CD4AC4"/>
    <w:rsid w:val="00D04461"/>
    <w:rsid w:val="00D1042D"/>
    <w:rsid w:val="00D116CA"/>
    <w:rsid w:val="00D15877"/>
    <w:rsid w:val="00D20D7E"/>
    <w:rsid w:val="00D2370F"/>
    <w:rsid w:val="00D33AD7"/>
    <w:rsid w:val="00D33B0E"/>
    <w:rsid w:val="00D43277"/>
    <w:rsid w:val="00D44125"/>
    <w:rsid w:val="00D52617"/>
    <w:rsid w:val="00D57478"/>
    <w:rsid w:val="00D62932"/>
    <w:rsid w:val="00D65618"/>
    <w:rsid w:val="00D67C49"/>
    <w:rsid w:val="00D73883"/>
    <w:rsid w:val="00D76171"/>
    <w:rsid w:val="00D81B4E"/>
    <w:rsid w:val="00D81CDF"/>
    <w:rsid w:val="00D82864"/>
    <w:rsid w:val="00D86B26"/>
    <w:rsid w:val="00D948AF"/>
    <w:rsid w:val="00D95280"/>
    <w:rsid w:val="00D97434"/>
    <w:rsid w:val="00DB12F0"/>
    <w:rsid w:val="00DB3C3C"/>
    <w:rsid w:val="00DB5688"/>
    <w:rsid w:val="00DC0037"/>
    <w:rsid w:val="00DD3904"/>
    <w:rsid w:val="00DD3923"/>
    <w:rsid w:val="00DD584F"/>
    <w:rsid w:val="00DE10B8"/>
    <w:rsid w:val="00DE27DA"/>
    <w:rsid w:val="00DE2E07"/>
    <w:rsid w:val="00DE33FA"/>
    <w:rsid w:val="00DF48A9"/>
    <w:rsid w:val="00E00B22"/>
    <w:rsid w:val="00E02A60"/>
    <w:rsid w:val="00E11A29"/>
    <w:rsid w:val="00E24362"/>
    <w:rsid w:val="00E31C78"/>
    <w:rsid w:val="00E32360"/>
    <w:rsid w:val="00E44910"/>
    <w:rsid w:val="00E466A4"/>
    <w:rsid w:val="00E60671"/>
    <w:rsid w:val="00E616C7"/>
    <w:rsid w:val="00E622B8"/>
    <w:rsid w:val="00E63105"/>
    <w:rsid w:val="00E8147E"/>
    <w:rsid w:val="00E90B1C"/>
    <w:rsid w:val="00E93231"/>
    <w:rsid w:val="00EA1517"/>
    <w:rsid w:val="00EA4AD0"/>
    <w:rsid w:val="00EA568D"/>
    <w:rsid w:val="00EA683A"/>
    <w:rsid w:val="00EB1D8B"/>
    <w:rsid w:val="00EB6171"/>
    <w:rsid w:val="00ED3CAC"/>
    <w:rsid w:val="00ED4C1A"/>
    <w:rsid w:val="00EE2F9B"/>
    <w:rsid w:val="00EE5910"/>
    <w:rsid w:val="00EE7275"/>
    <w:rsid w:val="00EF3DA7"/>
    <w:rsid w:val="00F03554"/>
    <w:rsid w:val="00F0444A"/>
    <w:rsid w:val="00F07152"/>
    <w:rsid w:val="00F0737A"/>
    <w:rsid w:val="00F12579"/>
    <w:rsid w:val="00F13D31"/>
    <w:rsid w:val="00F21827"/>
    <w:rsid w:val="00F23549"/>
    <w:rsid w:val="00F33C8A"/>
    <w:rsid w:val="00F34535"/>
    <w:rsid w:val="00F34EE7"/>
    <w:rsid w:val="00F34F5D"/>
    <w:rsid w:val="00F35046"/>
    <w:rsid w:val="00F35CA8"/>
    <w:rsid w:val="00F400EB"/>
    <w:rsid w:val="00F40707"/>
    <w:rsid w:val="00F410B5"/>
    <w:rsid w:val="00F5047C"/>
    <w:rsid w:val="00F5089F"/>
    <w:rsid w:val="00F51681"/>
    <w:rsid w:val="00F54DD2"/>
    <w:rsid w:val="00F6074A"/>
    <w:rsid w:val="00F607B5"/>
    <w:rsid w:val="00F6134D"/>
    <w:rsid w:val="00F61E16"/>
    <w:rsid w:val="00F62791"/>
    <w:rsid w:val="00F6289C"/>
    <w:rsid w:val="00F64C5B"/>
    <w:rsid w:val="00F65A93"/>
    <w:rsid w:val="00F80543"/>
    <w:rsid w:val="00F81EDD"/>
    <w:rsid w:val="00F82837"/>
    <w:rsid w:val="00F9010D"/>
    <w:rsid w:val="00F946CF"/>
    <w:rsid w:val="00FA6C59"/>
    <w:rsid w:val="00FB2514"/>
    <w:rsid w:val="00FC4E14"/>
    <w:rsid w:val="00FC60C8"/>
    <w:rsid w:val="00FD2F20"/>
    <w:rsid w:val="00FD6147"/>
    <w:rsid w:val="00FE03A7"/>
    <w:rsid w:val="00FE4805"/>
    <w:rsid w:val="00FE4EB3"/>
    <w:rsid w:val="00FE5C3C"/>
    <w:rsid w:val="00FF1F0B"/>
    <w:rsid w:val="00FF1FE2"/>
    <w:rsid w:val="00FF5480"/>
    <w:rsid w:val="00FF6650"/>
    <w:rsid w:val="00FF7DB8"/>
    <w:rsid w:val="01140A4A"/>
    <w:rsid w:val="01192921"/>
    <w:rsid w:val="0120047D"/>
    <w:rsid w:val="012817D9"/>
    <w:rsid w:val="01317F77"/>
    <w:rsid w:val="014276B1"/>
    <w:rsid w:val="018174F1"/>
    <w:rsid w:val="018221DE"/>
    <w:rsid w:val="0195213C"/>
    <w:rsid w:val="01A6074F"/>
    <w:rsid w:val="01AA1D1B"/>
    <w:rsid w:val="01D67006"/>
    <w:rsid w:val="02006853"/>
    <w:rsid w:val="02017C95"/>
    <w:rsid w:val="02AB087D"/>
    <w:rsid w:val="047C4AA8"/>
    <w:rsid w:val="050C6111"/>
    <w:rsid w:val="05510A70"/>
    <w:rsid w:val="056045A0"/>
    <w:rsid w:val="05925128"/>
    <w:rsid w:val="05D552CE"/>
    <w:rsid w:val="064F365D"/>
    <w:rsid w:val="065A7D67"/>
    <w:rsid w:val="06645776"/>
    <w:rsid w:val="06825176"/>
    <w:rsid w:val="06955940"/>
    <w:rsid w:val="06CC24CB"/>
    <w:rsid w:val="0702141F"/>
    <w:rsid w:val="078D3072"/>
    <w:rsid w:val="07A616EC"/>
    <w:rsid w:val="08055599"/>
    <w:rsid w:val="0819344D"/>
    <w:rsid w:val="082734E6"/>
    <w:rsid w:val="088570E4"/>
    <w:rsid w:val="08E847B1"/>
    <w:rsid w:val="092422B4"/>
    <w:rsid w:val="09260706"/>
    <w:rsid w:val="095429DE"/>
    <w:rsid w:val="09947CBA"/>
    <w:rsid w:val="099D7A0D"/>
    <w:rsid w:val="09F0578B"/>
    <w:rsid w:val="0A4B7E0E"/>
    <w:rsid w:val="0A7102A7"/>
    <w:rsid w:val="0A781068"/>
    <w:rsid w:val="0A88562A"/>
    <w:rsid w:val="0A914554"/>
    <w:rsid w:val="0ACE06BB"/>
    <w:rsid w:val="0AD73193"/>
    <w:rsid w:val="0B3133C1"/>
    <w:rsid w:val="0B440824"/>
    <w:rsid w:val="0B7015F3"/>
    <w:rsid w:val="0B7F4F8E"/>
    <w:rsid w:val="0C1F2A4D"/>
    <w:rsid w:val="0C235F6C"/>
    <w:rsid w:val="0D371522"/>
    <w:rsid w:val="0D76274C"/>
    <w:rsid w:val="0D8B2651"/>
    <w:rsid w:val="0E300D3A"/>
    <w:rsid w:val="0E714263"/>
    <w:rsid w:val="0E8A0ED8"/>
    <w:rsid w:val="0ECD6ED7"/>
    <w:rsid w:val="0EDB52EC"/>
    <w:rsid w:val="0F073822"/>
    <w:rsid w:val="0F0F3D8D"/>
    <w:rsid w:val="0F1F76D0"/>
    <w:rsid w:val="0F7C5968"/>
    <w:rsid w:val="0F9C0FF4"/>
    <w:rsid w:val="0F9D7170"/>
    <w:rsid w:val="0FD12962"/>
    <w:rsid w:val="0FE11F47"/>
    <w:rsid w:val="0FEA1F26"/>
    <w:rsid w:val="10250DBB"/>
    <w:rsid w:val="103E032B"/>
    <w:rsid w:val="10821871"/>
    <w:rsid w:val="10C74A23"/>
    <w:rsid w:val="10CC1DBF"/>
    <w:rsid w:val="11211A6D"/>
    <w:rsid w:val="11386251"/>
    <w:rsid w:val="114802A7"/>
    <w:rsid w:val="115D2A58"/>
    <w:rsid w:val="11DF34F2"/>
    <w:rsid w:val="11FC2705"/>
    <w:rsid w:val="12B14964"/>
    <w:rsid w:val="12E81879"/>
    <w:rsid w:val="13707209"/>
    <w:rsid w:val="137A28D3"/>
    <w:rsid w:val="13A97988"/>
    <w:rsid w:val="13AD43A7"/>
    <w:rsid w:val="13C53EBD"/>
    <w:rsid w:val="13C56C9E"/>
    <w:rsid w:val="143323BA"/>
    <w:rsid w:val="145D4809"/>
    <w:rsid w:val="14A16CA5"/>
    <w:rsid w:val="14B20982"/>
    <w:rsid w:val="14C85EC8"/>
    <w:rsid w:val="15432BEE"/>
    <w:rsid w:val="154379A5"/>
    <w:rsid w:val="160867F1"/>
    <w:rsid w:val="164769AC"/>
    <w:rsid w:val="165E2B67"/>
    <w:rsid w:val="16FC2ED2"/>
    <w:rsid w:val="17115E74"/>
    <w:rsid w:val="17130E26"/>
    <w:rsid w:val="178F39B4"/>
    <w:rsid w:val="17C12B58"/>
    <w:rsid w:val="17C253C5"/>
    <w:rsid w:val="17C50FDF"/>
    <w:rsid w:val="17D72154"/>
    <w:rsid w:val="17EB568A"/>
    <w:rsid w:val="17FD796F"/>
    <w:rsid w:val="180D015B"/>
    <w:rsid w:val="18265BD0"/>
    <w:rsid w:val="191A1F84"/>
    <w:rsid w:val="1970163B"/>
    <w:rsid w:val="19D835AD"/>
    <w:rsid w:val="1A205FEB"/>
    <w:rsid w:val="1A5B3353"/>
    <w:rsid w:val="1ABA1161"/>
    <w:rsid w:val="1AD34E18"/>
    <w:rsid w:val="1B4C4DCA"/>
    <w:rsid w:val="1C3703E0"/>
    <w:rsid w:val="1CC65580"/>
    <w:rsid w:val="1CFB6C8F"/>
    <w:rsid w:val="1D1E653A"/>
    <w:rsid w:val="1D8A5637"/>
    <w:rsid w:val="1DA7248F"/>
    <w:rsid w:val="1E4C4BC4"/>
    <w:rsid w:val="1EEB2E12"/>
    <w:rsid w:val="201C1CF0"/>
    <w:rsid w:val="204A28EE"/>
    <w:rsid w:val="205343E8"/>
    <w:rsid w:val="208474B9"/>
    <w:rsid w:val="209E5E4C"/>
    <w:rsid w:val="20A73AD2"/>
    <w:rsid w:val="20D017CD"/>
    <w:rsid w:val="21204134"/>
    <w:rsid w:val="213B3D5A"/>
    <w:rsid w:val="215C2065"/>
    <w:rsid w:val="2178792D"/>
    <w:rsid w:val="21882D76"/>
    <w:rsid w:val="21A7293F"/>
    <w:rsid w:val="21E760D9"/>
    <w:rsid w:val="2202480B"/>
    <w:rsid w:val="22432D68"/>
    <w:rsid w:val="22AB33C9"/>
    <w:rsid w:val="22FA541B"/>
    <w:rsid w:val="23071AD3"/>
    <w:rsid w:val="23DD3304"/>
    <w:rsid w:val="23EF26C8"/>
    <w:rsid w:val="23FB0F6A"/>
    <w:rsid w:val="23FE38C9"/>
    <w:rsid w:val="241D15C7"/>
    <w:rsid w:val="246F367A"/>
    <w:rsid w:val="24880436"/>
    <w:rsid w:val="2502184D"/>
    <w:rsid w:val="2506568E"/>
    <w:rsid w:val="25695889"/>
    <w:rsid w:val="25E3191A"/>
    <w:rsid w:val="264C42D1"/>
    <w:rsid w:val="272A36B9"/>
    <w:rsid w:val="27574CC5"/>
    <w:rsid w:val="27A45BFA"/>
    <w:rsid w:val="29477193"/>
    <w:rsid w:val="298E65D5"/>
    <w:rsid w:val="29E737F5"/>
    <w:rsid w:val="2AF16AE6"/>
    <w:rsid w:val="2B9E618D"/>
    <w:rsid w:val="2BB43662"/>
    <w:rsid w:val="2BBF414B"/>
    <w:rsid w:val="2BF27BA0"/>
    <w:rsid w:val="2BF86E47"/>
    <w:rsid w:val="2C275374"/>
    <w:rsid w:val="2C2F13D3"/>
    <w:rsid w:val="2C697C33"/>
    <w:rsid w:val="2C8E49C2"/>
    <w:rsid w:val="2DDD0745"/>
    <w:rsid w:val="2DDD5C8A"/>
    <w:rsid w:val="2E384D2A"/>
    <w:rsid w:val="2E922B20"/>
    <w:rsid w:val="2F316932"/>
    <w:rsid w:val="2F6864E5"/>
    <w:rsid w:val="2F776FDA"/>
    <w:rsid w:val="2FD81DA6"/>
    <w:rsid w:val="303C7ACB"/>
    <w:rsid w:val="304B5F67"/>
    <w:rsid w:val="308B78C4"/>
    <w:rsid w:val="30B72B60"/>
    <w:rsid w:val="3127206C"/>
    <w:rsid w:val="31935E20"/>
    <w:rsid w:val="31B132CD"/>
    <w:rsid w:val="31E2191F"/>
    <w:rsid w:val="320B4D7A"/>
    <w:rsid w:val="323C55FF"/>
    <w:rsid w:val="325E6770"/>
    <w:rsid w:val="32CA5E04"/>
    <w:rsid w:val="331734FE"/>
    <w:rsid w:val="33BA4F73"/>
    <w:rsid w:val="33FA164D"/>
    <w:rsid w:val="3435472F"/>
    <w:rsid w:val="3440223B"/>
    <w:rsid w:val="344B7329"/>
    <w:rsid w:val="35397363"/>
    <w:rsid w:val="35661651"/>
    <w:rsid w:val="363E4677"/>
    <w:rsid w:val="36BB6818"/>
    <w:rsid w:val="36EB16F5"/>
    <w:rsid w:val="36EF7DD3"/>
    <w:rsid w:val="36F4021B"/>
    <w:rsid w:val="371017C1"/>
    <w:rsid w:val="372D5A13"/>
    <w:rsid w:val="37813FA2"/>
    <w:rsid w:val="37CC3856"/>
    <w:rsid w:val="38A67E7F"/>
    <w:rsid w:val="38E24814"/>
    <w:rsid w:val="391A088C"/>
    <w:rsid w:val="39502610"/>
    <w:rsid w:val="39754F24"/>
    <w:rsid w:val="39D2763C"/>
    <w:rsid w:val="39DB7F7D"/>
    <w:rsid w:val="3A11636E"/>
    <w:rsid w:val="3A1E5D66"/>
    <w:rsid w:val="3A4B519A"/>
    <w:rsid w:val="3A9455F2"/>
    <w:rsid w:val="3A957A8A"/>
    <w:rsid w:val="3AAA3FA7"/>
    <w:rsid w:val="3B1923EE"/>
    <w:rsid w:val="3B4F0967"/>
    <w:rsid w:val="3B7314FC"/>
    <w:rsid w:val="3B936C5D"/>
    <w:rsid w:val="3BA04D68"/>
    <w:rsid w:val="3BB3159F"/>
    <w:rsid w:val="3BBA46A8"/>
    <w:rsid w:val="3BD60121"/>
    <w:rsid w:val="3BE43DF2"/>
    <w:rsid w:val="3C1F03D0"/>
    <w:rsid w:val="3C814F13"/>
    <w:rsid w:val="3CB22F20"/>
    <w:rsid w:val="3CEB2A7E"/>
    <w:rsid w:val="3D315F14"/>
    <w:rsid w:val="3DA3470B"/>
    <w:rsid w:val="3DC1785A"/>
    <w:rsid w:val="3DF029F0"/>
    <w:rsid w:val="3E18216E"/>
    <w:rsid w:val="3E8D7FAC"/>
    <w:rsid w:val="3EAA332F"/>
    <w:rsid w:val="3FF35B5D"/>
    <w:rsid w:val="400E6C2F"/>
    <w:rsid w:val="405F451F"/>
    <w:rsid w:val="408D4D2E"/>
    <w:rsid w:val="410B54F1"/>
    <w:rsid w:val="41596324"/>
    <w:rsid w:val="416D454C"/>
    <w:rsid w:val="417E0DD4"/>
    <w:rsid w:val="41AE29E7"/>
    <w:rsid w:val="42744C1D"/>
    <w:rsid w:val="42812D02"/>
    <w:rsid w:val="42A50744"/>
    <w:rsid w:val="432A4F1F"/>
    <w:rsid w:val="435161F1"/>
    <w:rsid w:val="437309A1"/>
    <w:rsid w:val="438B45CD"/>
    <w:rsid w:val="43C03588"/>
    <w:rsid w:val="44027883"/>
    <w:rsid w:val="445B1BCA"/>
    <w:rsid w:val="446409B5"/>
    <w:rsid w:val="44A634AB"/>
    <w:rsid w:val="44D25FA0"/>
    <w:rsid w:val="4585635F"/>
    <w:rsid w:val="459471F1"/>
    <w:rsid w:val="460E1EF2"/>
    <w:rsid w:val="4669300D"/>
    <w:rsid w:val="46B94A56"/>
    <w:rsid w:val="46C35710"/>
    <w:rsid w:val="47915563"/>
    <w:rsid w:val="4809596F"/>
    <w:rsid w:val="488F2F8B"/>
    <w:rsid w:val="48A6071F"/>
    <w:rsid w:val="48EE5022"/>
    <w:rsid w:val="490D247B"/>
    <w:rsid w:val="490F544C"/>
    <w:rsid w:val="49220893"/>
    <w:rsid w:val="496A7EF0"/>
    <w:rsid w:val="496D05B7"/>
    <w:rsid w:val="499A7B71"/>
    <w:rsid w:val="49BC7386"/>
    <w:rsid w:val="49DF19D1"/>
    <w:rsid w:val="4A110963"/>
    <w:rsid w:val="4A262C03"/>
    <w:rsid w:val="4A5D70EB"/>
    <w:rsid w:val="4AB045A7"/>
    <w:rsid w:val="4AC34F6C"/>
    <w:rsid w:val="4AF155C9"/>
    <w:rsid w:val="4B110071"/>
    <w:rsid w:val="4B553C62"/>
    <w:rsid w:val="4BE913F0"/>
    <w:rsid w:val="4C41382B"/>
    <w:rsid w:val="4C4232FC"/>
    <w:rsid w:val="4C5174C5"/>
    <w:rsid w:val="4D807369"/>
    <w:rsid w:val="4D9D1222"/>
    <w:rsid w:val="4DDA2114"/>
    <w:rsid w:val="4E035F99"/>
    <w:rsid w:val="4E0E0257"/>
    <w:rsid w:val="4E1F73CC"/>
    <w:rsid w:val="4E377B16"/>
    <w:rsid w:val="4E85590A"/>
    <w:rsid w:val="4E865EA8"/>
    <w:rsid w:val="4EAD2C02"/>
    <w:rsid w:val="4EC2427D"/>
    <w:rsid w:val="4F267100"/>
    <w:rsid w:val="4F273FFF"/>
    <w:rsid w:val="4F2D347D"/>
    <w:rsid w:val="4F64513A"/>
    <w:rsid w:val="4F8053A7"/>
    <w:rsid w:val="50B13D07"/>
    <w:rsid w:val="50BD6861"/>
    <w:rsid w:val="51294459"/>
    <w:rsid w:val="520D4C4F"/>
    <w:rsid w:val="529C0525"/>
    <w:rsid w:val="52A00FEB"/>
    <w:rsid w:val="52AF1A71"/>
    <w:rsid w:val="531D3C87"/>
    <w:rsid w:val="53A75E29"/>
    <w:rsid w:val="53F420B3"/>
    <w:rsid w:val="54002F60"/>
    <w:rsid w:val="540E00C3"/>
    <w:rsid w:val="54615C1F"/>
    <w:rsid w:val="54CC5929"/>
    <w:rsid w:val="54D66B86"/>
    <w:rsid w:val="54F91B6A"/>
    <w:rsid w:val="55615595"/>
    <w:rsid w:val="55623E6D"/>
    <w:rsid w:val="556971D5"/>
    <w:rsid w:val="558D29EF"/>
    <w:rsid w:val="55AA129C"/>
    <w:rsid w:val="56C76FFA"/>
    <w:rsid w:val="57583870"/>
    <w:rsid w:val="57D3417C"/>
    <w:rsid w:val="57ED2829"/>
    <w:rsid w:val="57FD68C9"/>
    <w:rsid w:val="58062017"/>
    <w:rsid w:val="587D2383"/>
    <w:rsid w:val="58CD0BD9"/>
    <w:rsid w:val="59612E96"/>
    <w:rsid w:val="597A6EDE"/>
    <w:rsid w:val="5A1F4052"/>
    <w:rsid w:val="5A260312"/>
    <w:rsid w:val="5A41520F"/>
    <w:rsid w:val="5A6C2A96"/>
    <w:rsid w:val="5B4662AC"/>
    <w:rsid w:val="5B81187D"/>
    <w:rsid w:val="5BBD30C7"/>
    <w:rsid w:val="5C1109FB"/>
    <w:rsid w:val="5C2335BC"/>
    <w:rsid w:val="5C9C2F4D"/>
    <w:rsid w:val="5CC76003"/>
    <w:rsid w:val="5D0B7C5E"/>
    <w:rsid w:val="5D6B6CE6"/>
    <w:rsid w:val="5D8F70B4"/>
    <w:rsid w:val="5DFD3CAB"/>
    <w:rsid w:val="5E521E77"/>
    <w:rsid w:val="5E7E6F5D"/>
    <w:rsid w:val="5EB42977"/>
    <w:rsid w:val="5F09749A"/>
    <w:rsid w:val="601E3881"/>
    <w:rsid w:val="60511C52"/>
    <w:rsid w:val="6056124C"/>
    <w:rsid w:val="606261EE"/>
    <w:rsid w:val="60A2410D"/>
    <w:rsid w:val="60CE075D"/>
    <w:rsid w:val="60DE06DC"/>
    <w:rsid w:val="6137300F"/>
    <w:rsid w:val="61465E92"/>
    <w:rsid w:val="62262C4E"/>
    <w:rsid w:val="62582768"/>
    <w:rsid w:val="625D71FF"/>
    <w:rsid w:val="6288046D"/>
    <w:rsid w:val="62BE2C0A"/>
    <w:rsid w:val="62D04226"/>
    <w:rsid w:val="62FC6387"/>
    <w:rsid w:val="631D73A2"/>
    <w:rsid w:val="635243D9"/>
    <w:rsid w:val="63C1118E"/>
    <w:rsid w:val="646F4B68"/>
    <w:rsid w:val="65AB285B"/>
    <w:rsid w:val="65AD7EBD"/>
    <w:rsid w:val="65B45F4F"/>
    <w:rsid w:val="65D442F6"/>
    <w:rsid w:val="65EE1B68"/>
    <w:rsid w:val="664A47B6"/>
    <w:rsid w:val="669A4C09"/>
    <w:rsid w:val="66D67A5D"/>
    <w:rsid w:val="66EE6546"/>
    <w:rsid w:val="67074E48"/>
    <w:rsid w:val="67246F89"/>
    <w:rsid w:val="67630127"/>
    <w:rsid w:val="67837630"/>
    <w:rsid w:val="683D3BEC"/>
    <w:rsid w:val="68417139"/>
    <w:rsid w:val="684347AC"/>
    <w:rsid w:val="68BF275E"/>
    <w:rsid w:val="69005F6E"/>
    <w:rsid w:val="690B55D0"/>
    <w:rsid w:val="6912771D"/>
    <w:rsid w:val="694C233B"/>
    <w:rsid w:val="69595A6E"/>
    <w:rsid w:val="696F2B99"/>
    <w:rsid w:val="69C05375"/>
    <w:rsid w:val="69E72C2E"/>
    <w:rsid w:val="69F97556"/>
    <w:rsid w:val="6A050965"/>
    <w:rsid w:val="6AB22668"/>
    <w:rsid w:val="6AD5171F"/>
    <w:rsid w:val="6ADB4BCA"/>
    <w:rsid w:val="6AF03773"/>
    <w:rsid w:val="6B37579E"/>
    <w:rsid w:val="6B507ABD"/>
    <w:rsid w:val="6B7A75A6"/>
    <w:rsid w:val="6B885778"/>
    <w:rsid w:val="6C251B2E"/>
    <w:rsid w:val="6C537F7C"/>
    <w:rsid w:val="6C944B4E"/>
    <w:rsid w:val="6CDB5C24"/>
    <w:rsid w:val="6D905441"/>
    <w:rsid w:val="6D9C5F71"/>
    <w:rsid w:val="6E3E0403"/>
    <w:rsid w:val="6E5C6500"/>
    <w:rsid w:val="6E9C7E46"/>
    <w:rsid w:val="6EC007DF"/>
    <w:rsid w:val="6EC32DCC"/>
    <w:rsid w:val="6EDF5A1A"/>
    <w:rsid w:val="6EFC51DB"/>
    <w:rsid w:val="6F130889"/>
    <w:rsid w:val="6F5E77BF"/>
    <w:rsid w:val="6F6440C4"/>
    <w:rsid w:val="70053003"/>
    <w:rsid w:val="708729D7"/>
    <w:rsid w:val="70BE5F94"/>
    <w:rsid w:val="70CC2689"/>
    <w:rsid w:val="70F107FF"/>
    <w:rsid w:val="71172E55"/>
    <w:rsid w:val="712935EA"/>
    <w:rsid w:val="713356A1"/>
    <w:rsid w:val="714E0A4B"/>
    <w:rsid w:val="716E0ED3"/>
    <w:rsid w:val="718B0AFA"/>
    <w:rsid w:val="71C305DB"/>
    <w:rsid w:val="71EF2B1A"/>
    <w:rsid w:val="726F53D4"/>
    <w:rsid w:val="72981D32"/>
    <w:rsid w:val="72A91502"/>
    <w:rsid w:val="73357E06"/>
    <w:rsid w:val="73CB4EA8"/>
    <w:rsid w:val="74712CFA"/>
    <w:rsid w:val="75107D5E"/>
    <w:rsid w:val="755964A7"/>
    <w:rsid w:val="7574407E"/>
    <w:rsid w:val="758201EB"/>
    <w:rsid w:val="75B9149C"/>
    <w:rsid w:val="75DE2E3E"/>
    <w:rsid w:val="75EA1F1A"/>
    <w:rsid w:val="763C56C5"/>
    <w:rsid w:val="76411810"/>
    <w:rsid w:val="764C6CFE"/>
    <w:rsid w:val="76FC583F"/>
    <w:rsid w:val="77373EC1"/>
    <w:rsid w:val="776C01B3"/>
    <w:rsid w:val="77C030C2"/>
    <w:rsid w:val="77EC59C1"/>
    <w:rsid w:val="781E7E5B"/>
    <w:rsid w:val="78872C77"/>
    <w:rsid w:val="78B64E2C"/>
    <w:rsid w:val="78C121CA"/>
    <w:rsid w:val="78DF01E6"/>
    <w:rsid w:val="798A1E03"/>
    <w:rsid w:val="798C6377"/>
    <w:rsid w:val="7A0C7AA0"/>
    <w:rsid w:val="7B130BB3"/>
    <w:rsid w:val="7B3F2658"/>
    <w:rsid w:val="7C7E1243"/>
    <w:rsid w:val="7CC359DE"/>
    <w:rsid w:val="7D01586C"/>
    <w:rsid w:val="7D4C5893"/>
    <w:rsid w:val="7D715615"/>
    <w:rsid w:val="7D723327"/>
    <w:rsid w:val="7D9542D8"/>
    <w:rsid w:val="7DB137DA"/>
    <w:rsid w:val="7DDA0FB8"/>
    <w:rsid w:val="7E04340E"/>
    <w:rsid w:val="7E6C36AE"/>
    <w:rsid w:val="7E8F5DAF"/>
    <w:rsid w:val="7F1F43B1"/>
    <w:rsid w:val="7FB3241F"/>
    <w:rsid w:val="7FCC7DBE"/>
    <w:rsid w:val="7FF61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57"/>
    <w:qFormat/>
    <w:uiPriority w:val="9"/>
    <w:pPr>
      <w:keepNext/>
      <w:topLinePunct/>
      <w:ind w:left="360"/>
      <w:outlineLvl w:val="0"/>
    </w:pPr>
    <w:rPr>
      <w:sz w:val="28"/>
    </w:rPr>
  </w:style>
  <w:style w:type="paragraph" w:styleId="3">
    <w:name w:val="heading 2"/>
    <w:basedOn w:val="1"/>
    <w:next w:val="1"/>
    <w:link w:val="58"/>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9"/>
    <w:qFormat/>
    <w:uiPriority w:val="0"/>
    <w:pPr>
      <w:keepNext/>
      <w:keepLines/>
      <w:numPr>
        <w:ilvl w:val="2"/>
        <w:numId w:val="1"/>
      </w:numPr>
      <w:adjustRightInd w:val="0"/>
      <w:spacing w:before="260" w:after="260" w:line="416" w:lineRule="atLeast"/>
      <w:jc w:val="left"/>
      <w:textAlignment w:val="baseline"/>
      <w:outlineLvl w:val="2"/>
    </w:pPr>
    <w:rPr>
      <w:b/>
      <w:kern w:val="0"/>
      <w:sz w:val="32"/>
    </w:rPr>
  </w:style>
  <w:style w:type="paragraph" w:styleId="5">
    <w:name w:val="heading 4"/>
    <w:basedOn w:val="1"/>
    <w:next w:val="1"/>
    <w:link w:val="60"/>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5"/>
    <w:basedOn w:val="1"/>
    <w:next w:val="1"/>
    <w:link w:val="61"/>
    <w:qFormat/>
    <w:uiPriority w:val="0"/>
    <w:pPr>
      <w:keepNext/>
      <w:keepLines/>
      <w:numPr>
        <w:ilvl w:val="4"/>
        <w:numId w:val="1"/>
      </w:numPr>
      <w:adjustRightInd w:val="0"/>
      <w:spacing w:before="280" w:after="290" w:line="376" w:lineRule="atLeast"/>
      <w:jc w:val="left"/>
      <w:textAlignment w:val="baseline"/>
      <w:outlineLvl w:val="4"/>
    </w:pPr>
    <w:rPr>
      <w:b/>
      <w:kern w:val="0"/>
      <w:sz w:val="28"/>
    </w:rPr>
  </w:style>
  <w:style w:type="paragraph" w:styleId="7">
    <w:name w:val="heading 6"/>
    <w:basedOn w:val="1"/>
    <w:next w:val="1"/>
    <w:link w:val="62"/>
    <w:qFormat/>
    <w:uiPriority w:val="0"/>
    <w:pPr>
      <w:keepNext/>
      <w:keepLines/>
      <w:numPr>
        <w:ilvl w:val="5"/>
        <w:numId w:val="1"/>
      </w:numPr>
      <w:adjustRightInd w:val="0"/>
      <w:spacing w:before="240" w:after="64" w:line="320" w:lineRule="atLeast"/>
      <w:jc w:val="left"/>
      <w:textAlignment w:val="baseline"/>
      <w:outlineLvl w:val="5"/>
    </w:pPr>
    <w:rPr>
      <w:rFonts w:ascii="Arial" w:hAnsi="Arial" w:eastAsia="黑体"/>
      <w:b/>
      <w:kern w:val="0"/>
      <w:sz w:val="24"/>
    </w:rPr>
  </w:style>
  <w:style w:type="paragraph" w:styleId="8">
    <w:name w:val="heading 7"/>
    <w:basedOn w:val="1"/>
    <w:next w:val="1"/>
    <w:link w:val="63"/>
    <w:qFormat/>
    <w:uiPriority w:val="0"/>
    <w:pPr>
      <w:keepNext/>
      <w:keepLines/>
      <w:numPr>
        <w:ilvl w:val="6"/>
        <w:numId w:val="1"/>
      </w:numPr>
      <w:adjustRightInd w:val="0"/>
      <w:spacing w:before="240" w:after="64" w:line="320" w:lineRule="atLeast"/>
      <w:jc w:val="left"/>
      <w:textAlignment w:val="baseline"/>
      <w:outlineLvl w:val="6"/>
    </w:pPr>
    <w:rPr>
      <w:b/>
      <w:kern w:val="0"/>
      <w:sz w:val="24"/>
    </w:rPr>
  </w:style>
  <w:style w:type="paragraph" w:styleId="9">
    <w:name w:val="heading 8"/>
    <w:basedOn w:val="1"/>
    <w:next w:val="1"/>
    <w:link w:val="64"/>
    <w:qFormat/>
    <w:uiPriority w:val="0"/>
    <w:pPr>
      <w:keepNext/>
      <w:keepLines/>
      <w:numPr>
        <w:ilvl w:val="7"/>
        <w:numId w:val="1"/>
      </w:numPr>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65"/>
    <w:qFormat/>
    <w:uiPriority w:val="0"/>
    <w:pPr>
      <w:keepNext/>
      <w:keepLines/>
      <w:numPr>
        <w:ilvl w:val="8"/>
        <w:numId w:val="1"/>
      </w:numPr>
      <w:adjustRightInd w:val="0"/>
      <w:spacing w:before="240" w:after="64" w:line="320" w:lineRule="atLeast"/>
      <w:jc w:val="left"/>
      <w:textAlignment w:val="baseline"/>
      <w:outlineLvl w:val="8"/>
    </w:pPr>
    <w:rPr>
      <w:rFonts w:ascii="Arial" w:hAnsi="Arial" w:eastAsia="黑体"/>
      <w:kern w:val="0"/>
      <w:sz w:val="24"/>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szCs w:val="24"/>
    </w:rPr>
  </w:style>
  <w:style w:type="paragraph" w:styleId="12">
    <w:name w:val="List Number 2"/>
    <w:basedOn w:val="13"/>
    <w:qFormat/>
    <w:uiPriority w:val="0"/>
    <w:pPr>
      <w:ind w:left="720" w:hanging="720"/>
    </w:pPr>
  </w:style>
  <w:style w:type="paragraph" w:styleId="13">
    <w:name w:val="List Number"/>
    <w:basedOn w:val="14"/>
    <w:qFormat/>
    <w:uiPriority w:val="0"/>
    <w:pPr>
      <w:spacing w:after="220" w:line="220" w:lineRule="atLeast"/>
      <w:ind w:left="1800" w:right="720" w:hanging="360"/>
    </w:pPr>
    <w:rPr>
      <w:spacing w:val="-4"/>
    </w:rPr>
  </w:style>
  <w:style w:type="paragraph" w:styleId="14">
    <w:name w:val="List"/>
    <w:basedOn w:val="1"/>
    <w:qFormat/>
    <w:uiPriority w:val="0"/>
    <w:pPr>
      <w:ind w:left="420" w:hanging="420"/>
    </w:pPr>
    <w:rPr>
      <w:szCs w:val="24"/>
    </w:rPr>
  </w:style>
  <w:style w:type="paragraph" w:styleId="15">
    <w:name w:val="List Bullet 4"/>
    <w:basedOn w:val="1"/>
    <w:qFormat/>
    <w:uiPriority w:val="0"/>
    <w:pPr>
      <w:tabs>
        <w:tab w:val="left" w:pos="1620"/>
      </w:tabs>
      <w:ind w:left="420" w:hanging="420"/>
    </w:pPr>
    <w:rPr>
      <w:szCs w:val="24"/>
    </w:rPr>
  </w:style>
  <w:style w:type="paragraph" w:styleId="16">
    <w:name w:val="Normal Indent"/>
    <w:basedOn w:val="1"/>
    <w:link w:val="72"/>
    <w:qFormat/>
    <w:uiPriority w:val="0"/>
    <w:pPr>
      <w:adjustRightInd w:val="0"/>
      <w:spacing w:line="312" w:lineRule="atLeast"/>
      <w:ind w:firstLine="420"/>
      <w:textAlignment w:val="baseline"/>
    </w:pPr>
    <w:rPr>
      <w:rFonts w:ascii="@楷体" w:hAnsi="Symbol" w:eastAsia="楷体"/>
      <w:kern w:val="28"/>
      <w:sz w:val="15"/>
    </w:rPr>
  </w:style>
  <w:style w:type="paragraph" w:styleId="17">
    <w:name w:val="Document Map"/>
    <w:basedOn w:val="1"/>
    <w:link w:val="79"/>
    <w:qFormat/>
    <w:uiPriority w:val="0"/>
    <w:rPr>
      <w:rFonts w:ascii="宋体"/>
      <w:sz w:val="18"/>
      <w:szCs w:val="18"/>
    </w:rPr>
  </w:style>
  <w:style w:type="paragraph" w:styleId="18">
    <w:name w:val="annotation text"/>
    <w:basedOn w:val="1"/>
    <w:link w:val="81"/>
    <w:qFormat/>
    <w:uiPriority w:val="0"/>
    <w:pPr>
      <w:jc w:val="left"/>
    </w:pPr>
  </w:style>
  <w:style w:type="paragraph" w:styleId="19">
    <w:name w:val="Body Text 3"/>
    <w:basedOn w:val="1"/>
    <w:link w:val="192"/>
    <w:qFormat/>
    <w:uiPriority w:val="0"/>
    <w:pPr>
      <w:spacing w:after="120"/>
    </w:pPr>
    <w:rPr>
      <w:sz w:val="16"/>
      <w:szCs w:val="16"/>
    </w:rPr>
  </w:style>
  <w:style w:type="paragraph" w:styleId="20">
    <w:name w:val="List Bullet 3"/>
    <w:basedOn w:val="1"/>
    <w:qFormat/>
    <w:uiPriority w:val="0"/>
    <w:pPr>
      <w:tabs>
        <w:tab w:val="left" w:pos="1200"/>
      </w:tabs>
      <w:ind w:left="420" w:hanging="420"/>
    </w:pPr>
    <w:rPr>
      <w:szCs w:val="24"/>
    </w:rPr>
  </w:style>
  <w:style w:type="paragraph" w:styleId="21">
    <w:name w:val="Body Text"/>
    <w:basedOn w:val="1"/>
    <w:link w:val="75"/>
    <w:qFormat/>
    <w:uiPriority w:val="0"/>
    <w:rPr>
      <w:rFonts w:ascii="宋体" w:hAnsi="宋体"/>
      <w:color w:val="0000FF"/>
      <w:sz w:val="24"/>
      <w:szCs w:val="24"/>
    </w:rPr>
  </w:style>
  <w:style w:type="paragraph" w:styleId="22">
    <w:name w:val="Body Text Indent"/>
    <w:basedOn w:val="1"/>
    <w:link w:val="82"/>
    <w:qFormat/>
    <w:uiPriority w:val="0"/>
    <w:pPr>
      <w:spacing w:after="120"/>
      <w:ind w:left="420" w:leftChars="200"/>
    </w:pPr>
    <w:rPr>
      <w:szCs w:val="24"/>
    </w:rPr>
  </w:style>
  <w:style w:type="paragraph" w:styleId="23">
    <w:name w:val="List Bullet 2"/>
    <w:basedOn w:val="1"/>
    <w:qFormat/>
    <w:uiPriority w:val="0"/>
    <w:pPr>
      <w:tabs>
        <w:tab w:val="left" w:pos="780"/>
      </w:tabs>
      <w:ind w:left="420" w:hanging="420"/>
    </w:pPr>
    <w:rPr>
      <w:szCs w:val="24"/>
    </w:rPr>
  </w:style>
  <w:style w:type="paragraph" w:styleId="24">
    <w:name w:val="toc 5"/>
    <w:basedOn w:val="1"/>
    <w:next w:val="1"/>
    <w:qFormat/>
    <w:uiPriority w:val="0"/>
    <w:pPr>
      <w:ind w:left="1680" w:leftChars="800"/>
    </w:pPr>
    <w:rPr>
      <w:szCs w:val="24"/>
    </w:rPr>
  </w:style>
  <w:style w:type="paragraph" w:styleId="25">
    <w:name w:val="toc 3"/>
    <w:basedOn w:val="1"/>
    <w:next w:val="1"/>
    <w:qFormat/>
    <w:uiPriority w:val="39"/>
    <w:pPr>
      <w:ind w:left="840" w:leftChars="400"/>
    </w:pPr>
    <w:rPr>
      <w:szCs w:val="24"/>
    </w:rPr>
  </w:style>
  <w:style w:type="paragraph" w:styleId="26">
    <w:name w:val="Plain Text"/>
    <w:basedOn w:val="1"/>
    <w:link w:val="66"/>
    <w:unhideWhenUsed/>
    <w:qFormat/>
    <w:uiPriority w:val="0"/>
    <w:rPr>
      <w:rFonts w:ascii="宋体" w:hAnsi="Courier New"/>
    </w:rPr>
  </w:style>
  <w:style w:type="paragraph" w:styleId="27">
    <w:name w:val="toc 8"/>
    <w:basedOn w:val="1"/>
    <w:next w:val="1"/>
    <w:qFormat/>
    <w:uiPriority w:val="0"/>
    <w:pPr>
      <w:ind w:left="2940" w:leftChars="1400"/>
    </w:pPr>
    <w:rPr>
      <w:szCs w:val="24"/>
    </w:rPr>
  </w:style>
  <w:style w:type="paragraph" w:styleId="28">
    <w:name w:val="Date"/>
    <w:basedOn w:val="1"/>
    <w:next w:val="1"/>
    <w:link w:val="84"/>
    <w:qFormat/>
    <w:uiPriority w:val="0"/>
  </w:style>
  <w:style w:type="paragraph" w:styleId="29">
    <w:name w:val="Body Text Indent 2"/>
    <w:basedOn w:val="1"/>
    <w:link w:val="85"/>
    <w:qFormat/>
    <w:uiPriority w:val="0"/>
    <w:pPr>
      <w:ind w:firstLine="480" w:firstLineChars="200"/>
    </w:pPr>
    <w:rPr>
      <w:rFonts w:ascii="宋体" w:hAnsi="宋体"/>
      <w:color w:val="FF0000"/>
      <w:sz w:val="24"/>
      <w:szCs w:val="24"/>
    </w:rPr>
  </w:style>
  <w:style w:type="paragraph" w:styleId="30">
    <w:name w:val="Balloon Text"/>
    <w:basedOn w:val="1"/>
    <w:link w:val="71"/>
    <w:unhideWhenUsed/>
    <w:qFormat/>
    <w:uiPriority w:val="0"/>
    <w:rPr>
      <w:sz w:val="18"/>
      <w:szCs w:val="18"/>
    </w:rPr>
  </w:style>
  <w:style w:type="paragraph" w:styleId="31">
    <w:name w:val="footer"/>
    <w:basedOn w:val="1"/>
    <w:link w:val="67"/>
    <w:qFormat/>
    <w:uiPriority w:val="99"/>
    <w:pPr>
      <w:tabs>
        <w:tab w:val="center" w:pos="4153"/>
        <w:tab w:val="right" w:pos="8306"/>
      </w:tabs>
      <w:snapToGrid w:val="0"/>
      <w:jc w:val="left"/>
    </w:pPr>
    <w:rPr>
      <w:sz w:val="18"/>
    </w:rPr>
  </w:style>
  <w:style w:type="paragraph" w:styleId="32">
    <w:name w:val="header"/>
    <w:basedOn w:val="1"/>
    <w:link w:val="6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33">
    <w:name w:val="toc 1"/>
    <w:basedOn w:val="1"/>
    <w:next w:val="1"/>
    <w:qFormat/>
    <w:uiPriority w:val="39"/>
    <w:rPr>
      <w:szCs w:val="24"/>
    </w:rPr>
  </w:style>
  <w:style w:type="paragraph" w:styleId="34">
    <w:name w:val="toc 4"/>
    <w:basedOn w:val="1"/>
    <w:next w:val="1"/>
    <w:qFormat/>
    <w:uiPriority w:val="0"/>
    <w:pPr>
      <w:ind w:left="1260" w:leftChars="600"/>
    </w:pPr>
    <w:rPr>
      <w:szCs w:val="24"/>
    </w:rPr>
  </w:style>
  <w:style w:type="paragraph" w:styleId="35">
    <w:name w:val="Subtitle"/>
    <w:basedOn w:val="1"/>
    <w:link w:val="116"/>
    <w:qFormat/>
    <w:uiPriority w:val="0"/>
    <w:pPr>
      <w:adjustRightInd w:val="0"/>
      <w:spacing w:before="120" w:after="120" w:line="240" w:lineRule="atLeast"/>
      <w:jc w:val="center"/>
      <w:textAlignment w:val="baseline"/>
    </w:pPr>
    <w:rPr>
      <w:rFonts w:ascii="Cambria" w:hAnsi="Cambria"/>
      <w:b/>
      <w:bCs/>
      <w:kern w:val="28"/>
      <w:sz w:val="32"/>
      <w:szCs w:val="32"/>
    </w:rPr>
  </w:style>
  <w:style w:type="paragraph" w:styleId="36">
    <w:name w:val="toc 6"/>
    <w:basedOn w:val="1"/>
    <w:next w:val="1"/>
    <w:qFormat/>
    <w:uiPriority w:val="0"/>
    <w:pPr>
      <w:ind w:left="2100" w:leftChars="1000"/>
    </w:pPr>
    <w:rPr>
      <w:szCs w:val="24"/>
    </w:rPr>
  </w:style>
  <w:style w:type="paragraph" w:styleId="37">
    <w:name w:val="Body Text Indent 3"/>
    <w:basedOn w:val="1"/>
    <w:link w:val="87"/>
    <w:qFormat/>
    <w:uiPriority w:val="0"/>
    <w:pPr>
      <w:spacing w:line="360" w:lineRule="atLeast"/>
      <w:ind w:left="420" w:firstLine="480"/>
    </w:pPr>
    <w:rPr>
      <w:rFonts w:ascii="宋体"/>
      <w:sz w:val="24"/>
      <w:szCs w:val="24"/>
    </w:rPr>
  </w:style>
  <w:style w:type="paragraph" w:styleId="38">
    <w:name w:val="toc 2"/>
    <w:basedOn w:val="1"/>
    <w:next w:val="1"/>
    <w:qFormat/>
    <w:uiPriority w:val="39"/>
    <w:pPr>
      <w:ind w:left="420" w:leftChars="200"/>
    </w:pPr>
    <w:rPr>
      <w:szCs w:val="24"/>
    </w:rPr>
  </w:style>
  <w:style w:type="paragraph" w:styleId="39">
    <w:name w:val="toc 9"/>
    <w:basedOn w:val="1"/>
    <w:next w:val="1"/>
    <w:qFormat/>
    <w:uiPriority w:val="0"/>
    <w:pPr>
      <w:ind w:left="3360" w:leftChars="1600"/>
    </w:pPr>
    <w:rPr>
      <w:szCs w:val="24"/>
    </w:rPr>
  </w:style>
  <w:style w:type="paragraph" w:styleId="40">
    <w:name w:val="Body Text 2"/>
    <w:basedOn w:val="1"/>
    <w:link w:val="88"/>
    <w:qFormat/>
    <w:uiPriority w:val="0"/>
    <w:rPr>
      <w:rFonts w:ascii="宋体"/>
      <w:b/>
      <w:bCs/>
      <w:color w:val="0000FF"/>
      <w:sz w:val="30"/>
      <w:szCs w:val="24"/>
    </w:rPr>
  </w:style>
  <w:style w:type="paragraph" w:styleId="41">
    <w:name w:val="Message Header"/>
    <w:basedOn w:val="21"/>
    <w:link w:val="193"/>
    <w:qFormat/>
    <w:uiPriority w:val="0"/>
    <w:pPr>
      <w:keepLines/>
      <w:widowControl/>
      <w:tabs>
        <w:tab w:val="left" w:pos="720"/>
        <w:tab w:val="left" w:pos="4320"/>
        <w:tab w:val="left" w:pos="5040"/>
        <w:tab w:val="right" w:pos="8640"/>
      </w:tabs>
      <w:spacing w:after="40" w:line="440" w:lineRule="atLeast"/>
      <w:ind w:left="720" w:hanging="720"/>
      <w:jc w:val="left"/>
    </w:pPr>
    <w:rPr>
      <w:rFonts w:ascii="Arial" w:hAnsi="Arial"/>
      <w:color w:val="auto"/>
      <w:spacing w:val="-5"/>
      <w:kern w:val="0"/>
      <w:sz w:val="20"/>
      <w:szCs w:val="20"/>
    </w:rPr>
  </w:style>
  <w:style w:type="paragraph" w:styleId="42">
    <w:name w:val="HTML Preformatted"/>
    <w:basedOn w:val="1"/>
    <w:link w:val="89"/>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43">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44">
    <w:name w:val="index 1"/>
    <w:basedOn w:val="1"/>
    <w:next w:val="1"/>
    <w:qFormat/>
    <w:uiPriority w:val="0"/>
    <w:pPr>
      <w:adjustRightInd w:val="0"/>
      <w:spacing w:line="360" w:lineRule="atLeast"/>
      <w:jc w:val="left"/>
      <w:textAlignment w:val="baseline"/>
    </w:pPr>
    <w:rPr>
      <w:kern w:val="0"/>
      <w:sz w:val="24"/>
    </w:rPr>
  </w:style>
  <w:style w:type="paragraph" w:styleId="45">
    <w:name w:val="Title"/>
    <w:basedOn w:val="1"/>
    <w:link w:val="69"/>
    <w:qFormat/>
    <w:uiPriority w:val="0"/>
    <w:pPr>
      <w:adjustRightInd w:val="0"/>
      <w:snapToGrid w:val="0"/>
      <w:spacing w:before="120" w:after="120" w:line="520" w:lineRule="exact"/>
      <w:jc w:val="center"/>
      <w:outlineLvl w:val="0"/>
    </w:pPr>
    <w:rPr>
      <w:rFonts w:ascii="黑体" w:eastAsia="黑体"/>
      <w:snapToGrid w:val="0"/>
      <w:sz w:val="28"/>
    </w:rPr>
  </w:style>
  <w:style w:type="paragraph" w:styleId="46">
    <w:name w:val="annotation subject"/>
    <w:basedOn w:val="18"/>
    <w:next w:val="18"/>
    <w:link w:val="91"/>
    <w:semiHidden/>
    <w:qFormat/>
    <w:uiPriority w:val="0"/>
    <w:rPr>
      <w:b/>
      <w:bCs/>
      <w:szCs w:val="24"/>
    </w:rPr>
  </w:style>
  <w:style w:type="paragraph" w:styleId="47">
    <w:name w:val="Body Text First Indent"/>
    <w:basedOn w:val="21"/>
    <w:link w:val="134"/>
    <w:qFormat/>
    <w:uiPriority w:val="0"/>
    <w:pPr>
      <w:spacing w:after="120"/>
      <w:ind w:firstLine="420" w:firstLineChars="100"/>
    </w:pPr>
    <w:rPr>
      <w:rFonts w:hAnsi="Times New Roman"/>
      <w:color w:val="auto"/>
      <w:szCs w:val="20"/>
    </w:rPr>
  </w:style>
  <w:style w:type="paragraph" w:styleId="48">
    <w:name w:val="Body Text First Indent 2"/>
    <w:basedOn w:val="22"/>
    <w:link w:val="228"/>
    <w:semiHidden/>
    <w:unhideWhenUsed/>
    <w:qFormat/>
    <w:uiPriority w:val="99"/>
    <w:pPr>
      <w:ind w:firstLine="420" w:firstLineChars="200"/>
    </w:pPr>
    <w:rPr>
      <w:szCs w:val="20"/>
    </w:rPr>
  </w:style>
  <w:style w:type="table" w:styleId="50">
    <w:name w:val="Table Grid"/>
    <w:basedOn w:val="49"/>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Strong"/>
    <w:qFormat/>
    <w:uiPriority w:val="22"/>
    <w:rPr>
      <w:b/>
      <w:bCs/>
    </w:rPr>
  </w:style>
  <w:style w:type="character" w:styleId="53">
    <w:name w:val="page number"/>
    <w:basedOn w:val="51"/>
    <w:unhideWhenUsed/>
    <w:qFormat/>
    <w:uiPriority w:val="0"/>
    <w:rPr>
      <w:kern w:val="2"/>
      <w:sz w:val="21"/>
      <w:szCs w:val="21"/>
    </w:rPr>
  </w:style>
  <w:style w:type="character" w:styleId="54">
    <w:name w:val="FollowedHyperlink"/>
    <w:qFormat/>
    <w:uiPriority w:val="0"/>
    <w:rPr>
      <w:color w:val="800080"/>
      <w:u w:val="single"/>
    </w:rPr>
  </w:style>
  <w:style w:type="character" w:styleId="55">
    <w:name w:val="Hyperlink"/>
    <w:basedOn w:val="51"/>
    <w:unhideWhenUsed/>
    <w:qFormat/>
    <w:uiPriority w:val="99"/>
    <w:rPr>
      <w:color w:val="0563C1" w:themeColor="hyperlink"/>
      <w:u w:val="single"/>
      <w14:textFill>
        <w14:solidFill>
          <w14:schemeClr w14:val="hlink"/>
        </w14:solidFill>
      </w14:textFill>
    </w:rPr>
  </w:style>
  <w:style w:type="character" w:styleId="56">
    <w:name w:val="annotation reference"/>
    <w:qFormat/>
    <w:uiPriority w:val="0"/>
    <w:rPr>
      <w:sz w:val="21"/>
      <w:szCs w:val="21"/>
    </w:rPr>
  </w:style>
  <w:style w:type="character" w:customStyle="1" w:styleId="57">
    <w:name w:val="标题 1 字符"/>
    <w:basedOn w:val="51"/>
    <w:link w:val="2"/>
    <w:qFormat/>
    <w:uiPriority w:val="0"/>
    <w:rPr>
      <w:kern w:val="2"/>
      <w:sz w:val="28"/>
    </w:rPr>
  </w:style>
  <w:style w:type="character" w:customStyle="1" w:styleId="58">
    <w:name w:val="标题 2 字符"/>
    <w:basedOn w:val="51"/>
    <w:link w:val="3"/>
    <w:qFormat/>
    <w:uiPriority w:val="0"/>
    <w:rPr>
      <w:rFonts w:ascii="Arial" w:hAnsi="Arial" w:eastAsia="黑体"/>
      <w:b/>
      <w:sz w:val="32"/>
    </w:rPr>
  </w:style>
  <w:style w:type="character" w:customStyle="1" w:styleId="59">
    <w:name w:val="标题 3 字符"/>
    <w:basedOn w:val="51"/>
    <w:link w:val="4"/>
    <w:qFormat/>
    <w:uiPriority w:val="0"/>
    <w:rPr>
      <w:b/>
      <w:sz w:val="32"/>
    </w:rPr>
  </w:style>
  <w:style w:type="character" w:customStyle="1" w:styleId="60">
    <w:name w:val="标题 4 字符"/>
    <w:basedOn w:val="51"/>
    <w:link w:val="5"/>
    <w:qFormat/>
    <w:uiPriority w:val="0"/>
    <w:rPr>
      <w:rFonts w:ascii="Arial" w:hAnsi="Arial" w:eastAsia="黑体"/>
      <w:b/>
      <w:sz w:val="28"/>
    </w:rPr>
  </w:style>
  <w:style w:type="character" w:customStyle="1" w:styleId="61">
    <w:name w:val="标题 5 字符"/>
    <w:basedOn w:val="51"/>
    <w:link w:val="6"/>
    <w:qFormat/>
    <w:uiPriority w:val="0"/>
    <w:rPr>
      <w:b/>
      <w:sz w:val="28"/>
    </w:rPr>
  </w:style>
  <w:style w:type="character" w:customStyle="1" w:styleId="62">
    <w:name w:val="标题 6 字符"/>
    <w:basedOn w:val="51"/>
    <w:link w:val="7"/>
    <w:qFormat/>
    <w:uiPriority w:val="0"/>
    <w:rPr>
      <w:rFonts w:ascii="Arial" w:hAnsi="Arial" w:eastAsia="黑体"/>
      <w:b/>
      <w:sz w:val="24"/>
    </w:rPr>
  </w:style>
  <w:style w:type="character" w:customStyle="1" w:styleId="63">
    <w:name w:val="标题 7 字符"/>
    <w:basedOn w:val="51"/>
    <w:link w:val="8"/>
    <w:qFormat/>
    <w:uiPriority w:val="0"/>
    <w:rPr>
      <w:b/>
      <w:sz w:val="24"/>
    </w:rPr>
  </w:style>
  <w:style w:type="character" w:customStyle="1" w:styleId="64">
    <w:name w:val="标题 8 字符"/>
    <w:basedOn w:val="51"/>
    <w:link w:val="9"/>
    <w:qFormat/>
    <w:uiPriority w:val="0"/>
    <w:rPr>
      <w:rFonts w:ascii="Arial" w:hAnsi="Arial" w:eastAsia="黑体"/>
      <w:sz w:val="24"/>
    </w:rPr>
  </w:style>
  <w:style w:type="character" w:customStyle="1" w:styleId="65">
    <w:name w:val="标题 9 字符"/>
    <w:basedOn w:val="51"/>
    <w:link w:val="10"/>
    <w:qFormat/>
    <w:uiPriority w:val="0"/>
    <w:rPr>
      <w:rFonts w:ascii="Arial" w:hAnsi="Arial" w:eastAsia="黑体"/>
      <w:sz w:val="24"/>
    </w:rPr>
  </w:style>
  <w:style w:type="character" w:customStyle="1" w:styleId="66">
    <w:name w:val="纯文本 字符"/>
    <w:link w:val="26"/>
    <w:qFormat/>
    <w:uiPriority w:val="0"/>
    <w:rPr>
      <w:rFonts w:ascii="宋体" w:hAnsi="Courier New"/>
      <w:kern w:val="2"/>
      <w:sz w:val="21"/>
    </w:rPr>
  </w:style>
  <w:style w:type="character" w:customStyle="1" w:styleId="67">
    <w:name w:val="页脚 字符"/>
    <w:basedOn w:val="51"/>
    <w:link w:val="31"/>
    <w:qFormat/>
    <w:uiPriority w:val="99"/>
    <w:rPr>
      <w:kern w:val="2"/>
      <w:sz w:val="18"/>
    </w:rPr>
  </w:style>
  <w:style w:type="character" w:customStyle="1" w:styleId="68">
    <w:name w:val="页眉 字符"/>
    <w:link w:val="32"/>
    <w:qFormat/>
    <w:uiPriority w:val="99"/>
    <w:rPr>
      <w:kern w:val="2"/>
      <w:sz w:val="18"/>
    </w:rPr>
  </w:style>
  <w:style w:type="character" w:customStyle="1" w:styleId="69">
    <w:name w:val="标题 字符"/>
    <w:link w:val="45"/>
    <w:qFormat/>
    <w:uiPriority w:val="0"/>
    <w:rPr>
      <w:rFonts w:ascii="黑体" w:eastAsia="黑体"/>
      <w:snapToGrid w:val="0"/>
      <w:kern w:val="2"/>
      <w:sz w:val="28"/>
    </w:rPr>
  </w:style>
  <w:style w:type="paragraph" w:customStyle="1" w:styleId="70">
    <w:name w:val="Char Char Char1 Char Char Char Char"/>
    <w:basedOn w:val="1"/>
    <w:qFormat/>
    <w:uiPriority w:val="0"/>
    <w:rPr>
      <w:szCs w:val="21"/>
    </w:rPr>
  </w:style>
  <w:style w:type="character" w:customStyle="1" w:styleId="71">
    <w:name w:val="批注框文本 字符"/>
    <w:basedOn w:val="51"/>
    <w:link w:val="30"/>
    <w:qFormat/>
    <w:uiPriority w:val="0"/>
    <w:rPr>
      <w:kern w:val="2"/>
      <w:sz w:val="18"/>
      <w:szCs w:val="18"/>
    </w:rPr>
  </w:style>
  <w:style w:type="character" w:customStyle="1" w:styleId="72">
    <w:name w:val="正文缩进 字符"/>
    <w:link w:val="16"/>
    <w:qFormat/>
    <w:uiPriority w:val="0"/>
    <w:rPr>
      <w:rFonts w:ascii="@楷体" w:hAnsi="Symbol" w:eastAsia="楷体"/>
      <w:kern w:val="28"/>
      <w:sz w:val="15"/>
    </w:rPr>
  </w:style>
  <w:style w:type="paragraph" w:customStyle="1" w:styleId="73">
    <w:name w:val="列出段落1"/>
    <w:basedOn w:val="1"/>
    <w:link w:val="74"/>
    <w:qFormat/>
    <w:uiPriority w:val="34"/>
    <w:pPr>
      <w:ind w:firstLine="420" w:firstLineChars="200"/>
    </w:pPr>
    <w:rPr>
      <w:rFonts w:ascii="Calibri" w:hAnsi="Calibri" w:cs="Calibri"/>
      <w:szCs w:val="21"/>
    </w:rPr>
  </w:style>
  <w:style w:type="character" w:customStyle="1" w:styleId="74">
    <w:name w:val="列出段落 Char"/>
    <w:link w:val="73"/>
    <w:qFormat/>
    <w:uiPriority w:val="34"/>
    <w:rPr>
      <w:rFonts w:ascii="Calibri" w:hAnsi="Calibri" w:cs="Calibri"/>
      <w:kern w:val="2"/>
      <w:sz w:val="21"/>
      <w:szCs w:val="21"/>
    </w:rPr>
  </w:style>
  <w:style w:type="character" w:customStyle="1" w:styleId="75">
    <w:name w:val="正文文本 字符"/>
    <w:basedOn w:val="51"/>
    <w:link w:val="21"/>
    <w:qFormat/>
    <w:uiPriority w:val="0"/>
    <w:rPr>
      <w:rFonts w:ascii="宋体" w:hAnsi="宋体"/>
      <w:color w:val="0000FF"/>
      <w:kern w:val="2"/>
      <w:sz w:val="24"/>
      <w:szCs w:val="24"/>
    </w:rPr>
  </w:style>
  <w:style w:type="paragraph" w:styleId="76">
    <w:name w:val="List Paragraph"/>
    <w:basedOn w:val="1"/>
    <w:qFormat/>
    <w:uiPriority w:val="99"/>
    <w:pPr>
      <w:ind w:firstLine="420" w:firstLineChars="200"/>
    </w:pPr>
  </w:style>
  <w:style w:type="table" w:customStyle="1" w:styleId="77">
    <w:name w:val="网格型1"/>
    <w:basedOn w:val="49"/>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8">
    <w:name w:val="正文缩进 Char"/>
    <w:qFormat/>
    <w:uiPriority w:val="0"/>
    <w:rPr>
      <w:rFonts w:ascii="@楷体" w:hAnsi="Symbol" w:eastAsia="楷体"/>
      <w:kern w:val="28"/>
      <w:sz w:val="15"/>
      <w:lang w:val="en-US" w:eastAsia="zh-CN" w:bidi="ar-SA"/>
    </w:rPr>
  </w:style>
  <w:style w:type="character" w:customStyle="1" w:styleId="79">
    <w:name w:val="文档结构图 字符1"/>
    <w:link w:val="17"/>
    <w:qFormat/>
    <w:uiPriority w:val="0"/>
    <w:rPr>
      <w:rFonts w:ascii="宋体"/>
      <w:kern w:val="2"/>
      <w:sz w:val="18"/>
      <w:szCs w:val="18"/>
    </w:rPr>
  </w:style>
  <w:style w:type="character" w:customStyle="1" w:styleId="80">
    <w:name w:val="文档结构图 字符"/>
    <w:basedOn w:val="51"/>
    <w:qFormat/>
    <w:uiPriority w:val="0"/>
    <w:rPr>
      <w:rFonts w:ascii="Microsoft YaHei UI" w:eastAsia="Microsoft YaHei UI"/>
      <w:kern w:val="2"/>
      <w:sz w:val="18"/>
      <w:szCs w:val="18"/>
    </w:rPr>
  </w:style>
  <w:style w:type="character" w:customStyle="1" w:styleId="81">
    <w:name w:val="批注文字 字符"/>
    <w:basedOn w:val="51"/>
    <w:link w:val="18"/>
    <w:qFormat/>
    <w:uiPriority w:val="0"/>
    <w:rPr>
      <w:kern w:val="2"/>
      <w:sz w:val="21"/>
    </w:rPr>
  </w:style>
  <w:style w:type="character" w:customStyle="1" w:styleId="82">
    <w:name w:val="正文文本缩进 字符"/>
    <w:basedOn w:val="51"/>
    <w:link w:val="22"/>
    <w:qFormat/>
    <w:uiPriority w:val="0"/>
    <w:rPr>
      <w:kern w:val="2"/>
      <w:sz w:val="21"/>
      <w:szCs w:val="24"/>
    </w:rPr>
  </w:style>
  <w:style w:type="character" w:customStyle="1" w:styleId="83">
    <w:name w:val="纯文本 Char"/>
    <w:qFormat/>
    <w:uiPriority w:val="0"/>
    <w:rPr>
      <w:rFonts w:ascii="宋体" w:hAnsi="Courier New"/>
      <w:kern w:val="2"/>
      <w:sz w:val="21"/>
    </w:rPr>
  </w:style>
  <w:style w:type="character" w:customStyle="1" w:styleId="84">
    <w:name w:val="日期 字符"/>
    <w:basedOn w:val="51"/>
    <w:link w:val="28"/>
    <w:qFormat/>
    <w:uiPriority w:val="0"/>
    <w:rPr>
      <w:kern w:val="2"/>
      <w:sz w:val="21"/>
    </w:rPr>
  </w:style>
  <w:style w:type="character" w:customStyle="1" w:styleId="85">
    <w:name w:val="正文文本缩进 2 字符"/>
    <w:basedOn w:val="51"/>
    <w:link w:val="29"/>
    <w:qFormat/>
    <w:uiPriority w:val="0"/>
    <w:rPr>
      <w:rFonts w:ascii="宋体" w:hAnsi="宋体"/>
      <w:color w:val="FF0000"/>
      <w:kern w:val="2"/>
      <w:sz w:val="24"/>
      <w:szCs w:val="24"/>
    </w:rPr>
  </w:style>
  <w:style w:type="character" w:customStyle="1" w:styleId="86">
    <w:name w:val="页脚 Char"/>
    <w:qFormat/>
    <w:uiPriority w:val="0"/>
    <w:rPr>
      <w:kern w:val="2"/>
      <w:sz w:val="18"/>
      <w:szCs w:val="18"/>
      <w:lang w:val="en-US" w:eastAsia="zh-CN"/>
    </w:rPr>
  </w:style>
  <w:style w:type="character" w:customStyle="1" w:styleId="87">
    <w:name w:val="正文文本缩进 3 字符"/>
    <w:basedOn w:val="51"/>
    <w:link w:val="37"/>
    <w:qFormat/>
    <w:uiPriority w:val="0"/>
    <w:rPr>
      <w:rFonts w:ascii="宋体"/>
      <w:kern w:val="2"/>
      <w:sz w:val="24"/>
      <w:szCs w:val="24"/>
    </w:rPr>
  </w:style>
  <w:style w:type="character" w:customStyle="1" w:styleId="88">
    <w:name w:val="正文文本 2 字符"/>
    <w:basedOn w:val="51"/>
    <w:link w:val="40"/>
    <w:qFormat/>
    <w:uiPriority w:val="0"/>
    <w:rPr>
      <w:rFonts w:ascii="宋体"/>
      <w:b/>
      <w:bCs/>
      <w:color w:val="0000FF"/>
      <w:kern w:val="2"/>
      <w:sz w:val="30"/>
      <w:szCs w:val="24"/>
    </w:rPr>
  </w:style>
  <w:style w:type="character" w:customStyle="1" w:styleId="89">
    <w:name w:val="HTML 预设格式 字符1"/>
    <w:link w:val="42"/>
    <w:qFormat/>
    <w:uiPriority w:val="99"/>
    <w:rPr>
      <w:rFonts w:ascii="宋体" w:hAnsi="宋体" w:cs="宋体"/>
      <w:sz w:val="24"/>
      <w:szCs w:val="24"/>
    </w:rPr>
  </w:style>
  <w:style w:type="character" w:customStyle="1" w:styleId="90">
    <w:name w:val="HTML 预设格式 字符"/>
    <w:basedOn w:val="51"/>
    <w:semiHidden/>
    <w:qFormat/>
    <w:uiPriority w:val="99"/>
    <w:rPr>
      <w:rFonts w:ascii="Courier New" w:hAnsi="Courier New" w:cs="Courier New"/>
      <w:kern w:val="2"/>
    </w:rPr>
  </w:style>
  <w:style w:type="character" w:customStyle="1" w:styleId="91">
    <w:name w:val="批注主题 字符"/>
    <w:basedOn w:val="81"/>
    <w:link w:val="46"/>
    <w:semiHidden/>
    <w:qFormat/>
    <w:uiPriority w:val="0"/>
    <w:rPr>
      <w:b/>
      <w:bCs/>
      <w:kern w:val="2"/>
      <w:sz w:val="21"/>
      <w:szCs w:val="24"/>
    </w:rPr>
  </w:style>
  <w:style w:type="character" w:customStyle="1" w:styleId="92">
    <w:name w:val="txt41"/>
    <w:qFormat/>
    <w:uiPriority w:val="0"/>
    <w:rPr>
      <w:b/>
      <w:bCs/>
      <w:color w:val="000000"/>
      <w:sz w:val="29"/>
      <w:szCs w:val="29"/>
    </w:rPr>
  </w:style>
  <w:style w:type="character" w:customStyle="1" w:styleId="93">
    <w:name w:val="样式12 Char"/>
    <w:link w:val="94"/>
    <w:qFormat/>
    <w:locked/>
    <w:uiPriority w:val="0"/>
    <w:rPr>
      <w:kern w:val="2"/>
      <w:sz w:val="24"/>
    </w:rPr>
  </w:style>
  <w:style w:type="paragraph" w:customStyle="1" w:styleId="94">
    <w:name w:val="样式12"/>
    <w:basedOn w:val="1"/>
    <w:link w:val="93"/>
    <w:qFormat/>
    <w:uiPriority w:val="0"/>
    <w:pPr>
      <w:tabs>
        <w:tab w:val="left" w:pos="533"/>
      </w:tabs>
      <w:ind w:left="420" w:hanging="420"/>
    </w:pPr>
    <w:rPr>
      <w:sz w:val="24"/>
    </w:rPr>
  </w:style>
  <w:style w:type="character" w:customStyle="1" w:styleId="95">
    <w:name w:val="txt91"/>
    <w:qFormat/>
    <w:uiPriority w:val="0"/>
    <w:rPr>
      <w:b/>
      <w:bCs/>
      <w:color w:val="330066"/>
      <w:sz w:val="22"/>
      <w:szCs w:val="22"/>
    </w:rPr>
  </w:style>
  <w:style w:type="character" w:customStyle="1" w:styleId="96">
    <w:name w:val="txt14"/>
    <w:qFormat/>
    <w:uiPriority w:val="0"/>
    <w:rPr>
      <w:color w:val="000000"/>
      <w:sz w:val="29"/>
      <w:szCs w:val="29"/>
    </w:rPr>
  </w:style>
  <w:style w:type="paragraph" w:customStyle="1" w:styleId="97">
    <w:name w:val="大标题"/>
    <w:basedOn w:val="1"/>
    <w:qFormat/>
    <w:uiPriority w:val="0"/>
    <w:pPr>
      <w:jc w:val="center"/>
    </w:pPr>
    <w:rPr>
      <w:rFonts w:ascii="黑体" w:eastAsia="黑体" w:cs="宋体"/>
      <w:b/>
      <w:bCs/>
      <w:sz w:val="32"/>
    </w:rPr>
  </w:style>
  <w:style w:type="paragraph" w:customStyle="1" w:styleId="98">
    <w:name w:val="4 Char"/>
    <w:basedOn w:val="1"/>
    <w:qFormat/>
    <w:uiPriority w:val="0"/>
    <w:rPr>
      <w:szCs w:val="24"/>
    </w:rPr>
  </w:style>
  <w:style w:type="paragraph" w:customStyle="1" w:styleId="99">
    <w:name w:val="Char Char Char1"/>
    <w:basedOn w:val="1"/>
    <w:qFormat/>
    <w:uiPriority w:val="0"/>
    <w:rPr>
      <w:szCs w:val="24"/>
    </w:rPr>
  </w:style>
  <w:style w:type="paragraph" w:customStyle="1" w:styleId="100">
    <w:name w:val="txt1"/>
    <w:basedOn w:val="1"/>
    <w:qFormat/>
    <w:uiPriority w:val="0"/>
    <w:pPr>
      <w:widowControl/>
      <w:spacing w:before="100" w:beforeAutospacing="1" w:after="100" w:afterAutospacing="1"/>
      <w:jc w:val="left"/>
    </w:pPr>
    <w:rPr>
      <w:rFonts w:ascii="宋体" w:hAnsi="宋体"/>
      <w:color w:val="000000"/>
      <w:kern w:val="0"/>
      <w:sz w:val="29"/>
      <w:szCs w:val="29"/>
    </w:rPr>
  </w:style>
  <w:style w:type="paragraph" w:customStyle="1" w:styleId="101">
    <w:name w:val="normal11"/>
    <w:basedOn w:val="1"/>
    <w:qFormat/>
    <w:uiPriority w:val="0"/>
    <w:pPr>
      <w:widowControl/>
      <w:autoSpaceDE w:val="0"/>
      <w:autoSpaceDN w:val="0"/>
      <w:jc w:val="left"/>
    </w:pPr>
    <w:rPr>
      <w:rFonts w:ascii="Arial" w:hAnsi="Arial" w:cs="Arial"/>
      <w:kern w:val="0"/>
      <w:sz w:val="22"/>
      <w:szCs w:val="22"/>
      <w:lang w:eastAsia="en-US"/>
    </w:rPr>
  </w:style>
  <w:style w:type="paragraph" w:customStyle="1" w:styleId="102">
    <w:name w:val="日期1"/>
    <w:basedOn w:val="1"/>
    <w:next w:val="1"/>
    <w:qFormat/>
    <w:uiPriority w:val="0"/>
    <w:pPr>
      <w:overflowPunct w:val="0"/>
      <w:autoSpaceDE w:val="0"/>
      <w:autoSpaceDN w:val="0"/>
      <w:adjustRightInd w:val="0"/>
      <w:spacing w:line="312" w:lineRule="atLeast"/>
      <w:textAlignment w:val="baseline"/>
    </w:pPr>
    <w:rPr>
      <w:rFonts w:ascii="宋体"/>
      <w:kern w:val="0"/>
      <w:sz w:val="28"/>
    </w:rPr>
  </w:style>
  <w:style w:type="paragraph" w:customStyle="1" w:styleId="103">
    <w:name w:val="Char Char Char Char Char Char Char Char Char"/>
    <w:basedOn w:val="1"/>
    <w:qFormat/>
    <w:uiPriority w:val="0"/>
    <w:pPr>
      <w:adjustRightInd w:val="0"/>
      <w:spacing w:line="360" w:lineRule="auto"/>
    </w:pPr>
    <w:rPr>
      <w:rFonts w:ascii="Tahoma" w:hAnsi="Tahoma"/>
      <w:kern w:val="0"/>
      <w:sz w:val="24"/>
    </w:rPr>
  </w:style>
  <w:style w:type="paragraph" w:customStyle="1" w:styleId="104">
    <w:name w:val="Char"/>
    <w:basedOn w:val="1"/>
    <w:qFormat/>
    <w:uiPriority w:val="0"/>
    <w:rPr>
      <w:szCs w:val="21"/>
    </w:rPr>
  </w:style>
  <w:style w:type="paragraph" w:customStyle="1" w:styleId="105">
    <w:name w:val="列出段落2"/>
    <w:basedOn w:val="1"/>
    <w:qFormat/>
    <w:uiPriority w:val="0"/>
    <w:pPr>
      <w:ind w:firstLine="420" w:firstLineChars="200"/>
    </w:pPr>
    <w:rPr>
      <w:rFonts w:ascii="Calibri" w:hAnsi="Calibri" w:cs="Calibri"/>
      <w:szCs w:val="21"/>
    </w:rPr>
  </w:style>
  <w:style w:type="paragraph" w:customStyle="1" w:styleId="106">
    <w:name w:val="ST20_17"/>
    <w:basedOn w:val="5"/>
    <w:qFormat/>
    <w:uiPriority w:val="0"/>
    <w:pPr>
      <w:numPr>
        <w:numId w:val="0"/>
      </w:numPr>
      <w:autoSpaceDE w:val="0"/>
      <w:autoSpaceDN w:val="0"/>
      <w:spacing w:before="0" w:after="0" w:line="240" w:lineRule="atLeast"/>
      <w:jc w:val="both"/>
      <w:outlineLvl w:val="9"/>
    </w:pPr>
    <w:rPr>
      <w:rFonts w:ascii="宋体" w:hAnsi="Tms Rmn" w:eastAsia="宋体"/>
      <w:b w:val="0"/>
      <w:sz w:val="24"/>
    </w:rPr>
  </w:style>
  <w:style w:type="paragraph" w:customStyle="1" w:styleId="107">
    <w:name w:val="Char1"/>
    <w:basedOn w:val="1"/>
    <w:qFormat/>
    <w:uiPriority w:val="0"/>
    <w:rPr>
      <w:szCs w:val="24"/>
    </w:rPr>
  </w:style>
  <w:style w:type="paragraph" w:customStyle="1" w:styleId="108">
    <w:name w:val="Char Char Char Char"/>
    <w:basedOn w:val="1"/>
    <w:qFormat/>
    <w:uiPriority w:val="0"/>
    <w:pPr>
      <w:adjustRightInd w:val="0"/>
      <w:spacing w:line="360" w:lineRule="auto"/>
    </w:pPr>
    <w:rPr>
      <w:rFonts w:ascii="Tahoma" w:hAnsi="Tahoma"/>
      <w:kern w:val="0"/>
      <w:sz w:val="24"/>
    </w:rPr>
  </w:style>
  <w:style w:type="paragraph" w:customStyle="1" w:styleId="109">
    <w:name w:val="内容文字"/>
    <w:basedOn w:val="1"/>
    <w:qFormat/>
    <w:uiPriority w:val="0"/>
    <w:pPr>
      <w:spacing w:line="360" w:lineRule="exact"/>
    </w:pPr>
    <w:rPr>
      <w:rFonts w:ascii="宋体"/>
      <w:sz w:val="24"/>
    </w:rPr>
  </w:style>
  <w:style w:type="paragraph" w:customStyle="1" w:styleId="110">
    <w:name w:val="tablecontents"/>
    <w:basedOn w:val="1"/>
    <w:qFormat/>
    <w:uiPriority w:val="0"/>
    <w:pPr>
      <w:widowControl/>
      <w:spacing w:after="60"/>
    </w:pPr>
    <w:rPr>
      <w:rFonts w:ascii="Arial" w:hAnsi="Arial"/>
      <w:kern w:val="0"/>
      <w:sz w:val="20"/>
    </w:rPr>
  </w:style>
  <w:style w:type="paragraph" w:customStyle="1" w:styleId="111">
    <w:name w:val="5 Char Char Char Char"/>
    <w:basedOn w:val="1"/>
    <w:qFormat/>
    <w:uiPriority w:val="0"/>
    <w:pPr>
      <w:keepNext/>
      <w:keepLines/>
      <w:spacing w:line="360" w:lineRule="auto"/>
      <w:ind w:firstLine="480" w:firstLineChars="200"/>
    </w:pPr>
    <w:rPr>
      <w:kern w:val="0"/>
      <w:sz w:val="24"/>
    </w:rPr>
  </w:style>
  <w:style w:type="paragraph" w:customStyle="1" w:styleId="112">
    <w:name w:val="Char Char Char Char Char Char Char"/>
    <w:basedOn w:val="1"/>
    <w:qFormat/>
    <w:uiPriority w:val="0"/>
    <w:pPr>
      <w:adjustRightInd w:val="0"/>
      <w:spacing w:line="360" w:lineRule="auto"/>
    </w:pPr>
    <w:rPr>
      <w:rFonts w:ascii="Tahoma" w:hAnsi="Tahoma"/>
      <w:kern w:val="0"/>
      <w:sz w:val="24"/>
    </w:rPr>
  </w:style>
  <w:style w:type="character" w:customStyle="1" w:styleId="113">
    <w:name w:val="readmail_locationtip"/>
    <w:qFormat/>
    <w:uiPriority w:val="0"/>
  </w:style>
  <w:style w:type="table" w:customStyle="1" w:styleId="114">
    <w:name w:val="TableGrid"/>
    <w:qFormat/>
    <w:uiPriority w:val="0"/>
    <w:rPr>
      <w:rFonts w:asciiTheme="minorHAnsi" w:hAnsiTheme="minorHAnsi" w:eastAsiaTheme="minorEastAsia" w:cstheme="minorBidi"/>
      <w:kern w:val="2"/>
      <w:sz w:val="21"/>
      <w:szCs w:val="22"/>
    </w:rPr>
    <w:tblPr>
      <w:tblCellMar>
        <w:top w:w="0" w:type="dxa"/>
        <w:left w:w="0" w:type="dxa"/>
        <w:bottom w:w="0" w:type="dxa"/>
        <w:right w:w="0" w:type="dxa"/>
      </w:tblCellMar>
    </w:tblPr>
  </w:style>
  <w:style w:type="paragraph" w:customStyle="1" w:styleId="115">
    <w:name w:val="TOC 11"/>
    <w:basedOn w:val="1"/>
    <w:next w:val="1"/>
    <w:qFormat/>
    <w:locked/>
    <w:uiPriority w:val="39"/>
    <w:rPr>
      <w:szCs w:val="21"/>
    </w:rPr>
  </w:style>
  <w:style w:type="character" w:customStyle="1" w:styleId="116">
    <w:name w:val="副标题 字符"/>
    <w:basedOn w:val="51"/>
    <w:link w:val="35"/>
    <w:qFormat/>
    <w:uiPriority w:val="0"/>
    <w:rPr>
      <w:rFonts w:ascii="Cambria" w:hAnsi="Cambria"/>
      <w:b/>
      <w:bCs/>
      <w:kern w:val="28"/>
      <w:sz w:val="32"/>
      <w:szCs w:val="32"/>
    </w:rPr>
  </w:style>
  <w:style w:type="character" w:customStyle="1" w:styleId="117">
    <w:name w:val="技术规范书正文 Char"/>
    <w:link w:val="118"/>
    <w:qFormat/>
    <w:locked/>
    <w:uiPriority w:val="0"/>
    <w:rPr>
      <w:kern w:val="2"/>
      <w:sz w:val="24"/>
      <w:szCs w:val="24"/>
    </w:rPr>
  </w:style>
  <w:style w:type="paragraph" w:customStyle="1" w:styleId="118">
    <w:name w:val="技术规范书正文"/>
    <w:link w:val="117"/>
    <w:qFormat/>
    <w:uiPriority w:val="0"/>
    <w:pPr>
      <w:snapToGrid w:val="0"/>
      <w:spacing w:line="360" w:lineRule="auto"/>
    </w:pPr>
    <w:rPr>
      <w:rFonts w:ascii="Times New Roman" w:hAnsi="Times New Roman" w:eastAsia="宋体" w:cs="Times New Roman"/>
      <w:kern w:val="2"/>
      <w:sz w:val="24"/>
      <w:szCs w:val="24"/>
      <w:lang w:val="en-US" w:eastAsia="zh-CN" w:bidi="ar-SA"/>
    </w:rPr>
  </w:style>
  <w:style w:type="paragraph" w:customStyle="1" w:styleId="119">
    <w:name w:val="TOC 41"/>
    <w:basedOn w:val="1"/>
    <w:next w:val="1"/>
    <w:qFormat/>
    <w:locked/>
    <w:uiPriority w:val="0"/>
    <w:pPr>
      <w:ind w:left="1260" w:leftChars="600"/>
    </w:pPr>
    <w:rPr>
      <w:szCs w:val="21"/>
    </w:rPr>
  </w:style>
  <w:style w:type="paragraph" w:customStyle="1" w:styleId="120">
    <w:name w:val="TOC 51"/>
    <w:basedOn w:val="1"/>
    <w:next w:val="1"/>
    <w:qFormat/>
    <w:locked/>
    <w:uiPriority w:val="0"/>
    <w:pPr>
      <w:ind w:left="1680" w:leftChars="800"/>
    </w:pPr>
    <w:rPr>
      <w:szCs w:val="21"/>
    </w:rPr>
  </w:style>
  <w:style w:type="paragraph" w:customStyle="1" w:styleId="121">
    <w:name w:val="TOC 71"/>
    <w:basedOn w:val="1"/>
    <w:next w:val="1"/>
    <w:qFormat/>
    <w:locked/>
    <w:uiPriority w:val="0"/>
    <w:pPr>
      <w:ind w:left="2520" w:leftChars="1200"/>
    </w:pPr>
    <w:rPr>
      <w:szCs w:val="21"/>
    </w:rPr>
  </w:style>
  <w:style w:type="paragraph" w:customStyle="1" w:styleId="122">
    <w:name w:val="TOC 21"/>
    <w:basedOn w:val="1"/>
    <w:next w:val="1"/>
    <w:qFormat/>
    <w:locked/>
    <w:uiPriority w:val="0"/>
    <w:pPr>
      <w:ind w:left="420" w:leftChars="200"/>
    </w:pPr>
    <w:rPr>
      <w:szCs w:val="21"/>
    </w:rPr>
  </w:style>
  <w:style w:type="paragraph" w:customStyle="1" w:styleId="123">
    <w:name w:val="TOC 61"/>
    <w:basedOn w:val="1"/>
    <w:next w:val="1"/>
    <w:qFormat/>
    <w:locked/>
    <w:uiPriority w:val="0"/>
    <w:pPr>
      <w:ind w:left="2100" w:leftChars="1000"/>
    </w:pPr>
    <w:rPr>
      <w:szCs w:val="21"/>
    </w:rPr>
  </w:style>
  <w:style w:type="paragraph" w:customStyle="1" w:styleId="124">
    <w:name w:val="TOC 31"/>
    <w:basedOn w:val="1"/>
    <w:next w:val="1"/>
    <w:qFormat/>
    <w:locked/>
    <w:uiPriority w:val="0"/>
    <w:pPr>
      <w:ind w:left="840" w:leftChars="400"/>
    </w:pPr>
    <w:rPr>
      <w:szCs w:val="21"/>
    </w:rPr>
  </w:style>
  <w:style w:type="paragraph" w:customStyle="1" w:styleId="125">
    <w:name w:val="TOC 91"/>
    <w:basedOn w:val="1"/>
    <w:next w:val="1"/>
    <w:qFormat/>
    <w:locked/>
    <w:uiPriority w:val="0"/>
    <w:pPr>
      <w:ind w:left="3360" w:leftChars="1600"/>
    </w:pPr>
    <w:rPr>
      <w:szCs w:val="21"/>
    </w:rPr>
  </w:style>
  <w:style w:type="paragraph" w:customStyle="1" w:styleId="126">
    <w:name w:val="TOC 81"/>
    <w:basedOn w:val="1"/>
    <w:next w:val="1"/>
    <w:qFormat/>
    <w:locked/>
    <w:uiPriority w:val="0"/>
    <w:pPr>
      <w:ind w:left="2940" w:leftChars="1400"/>
    </w:pPr>
    <w:rPr>
      <w:szCs w:val="21"/>
    </w:rPr>
  </w:style>
  <w:style w:type="paragraph" w:customStyle="1" w:styleId="127">
    <w:name w:val="正文缩进1"/>
    <w:basedOn w:val="1"/>
    <w:qFormat/>
    <w:uiPriority w:val="0"/>
    <w:pPr>
      <w:adjustRightInd w:val="0"/>
      <w:spacing w:line="360" w:lineRule="atLeast"/>
      <w:ind w:firstLine="420"/>
      <w:jc w:val="left"/>
      <w:textAlignment w:val="baseline"/>
    </w:pPr>
    <w:rPr>
      <w:kern w:val="0"/>
      <w:sz w:val="24"/>
    </w:rPr>
  </w:style>
  <w:style w:type="paragraph" w:customStyle="1" w:styleId="128">
    <w:name w:val="正文1"/>
    <w:basedOn w:val="1"/>
    <w:link w:val="173"/>
    <w:qFormat/>
    <w:uiPriority w:val="0"/>
    <w:pPr>
      <w:adjustRightInd w:val="0"/>
      <w:spacing w:line="360" w:lineRule="atLeast"/>
      <w:jc w:val="left"/>
      <w:textAlignment w:val="baseline"/>
    </w:pPr>
    <w:rPr>
      <w:rFonts w:ascii="宋体"/>
      <w:kern w:val="0"/>
      <w:sz w:val="24"/>
    </w:rPr>
  </w:style>
  <w:style w:type="paragraph" w:customStyle="1" w:styleId="129">
    <w:name w:val="样式1"/>
    <w:basedOn w:val="1"/>
    <w:link w:val="172"/>
    <w:qFormat/>
    <w:uiPriority w:val="0"/>
    <w:pPr>
      <w:adjustRightInd w:val="0"/>
      <w:spacing w:line="420" w:lineRule="auto"/>
      <w:jc w:val="center"/>
      <w:textAlignment w:val="baseline"/>
    </w:pPr>
    <w:rPr>
      <w:rFonts w:ascii="宋体"/>
      <w:kern w:val="0"/>
      <w:sz w:val="24"/>
      <w:szCs w:val="24"/>
    </w:rPr>
  </w:style>
  <w:style w:type="paragraph" w:customStyle="1" w:styleId="130">
    <w:name w:val="Char Char1 Char"/>
    <w:basedOn w:val="1"/>
    <w:qFormat/>
    <w:uiPriority w:val="0"/>
    <w:rPr>
      <w:rFonts w:ascii="宋体"/>
      <w:kern w:val="0"/>
      <w:sz w:val="24"/>
    </w:rPr>
  </w:style>
  <w:style w:type="paragraph" w:customStyle="1" w:styleId="131">
    <w:name w:val="纯文本1"/>
    <w:basedOn w:val="1"/>
    <w:qFormat/>
    <w:uiPriority w:val="0"/>
    <w:rPr>
      <w:rFonts w:ascii="宋体" w:hAnsi="Courier New"/>
    </w:rPr>
  </w:style>
  <w:style w:type="paragraph" w:customStyle="1" w:styleId="132">
    <w:name w:val="p0"/>
    <w:basedOn w:val="1"/>
    <w:qFormat/>
    <w:uiPriority w:val="0"/>
    <w:pPr>
      <w:widowControl/>
    </w:pPr>
    <w:rPr>
      <w:kern w:val="0"/>
      <w:szCs w:val="21"/>
    </w:rPr>
  </w:style>
  <w:style w:type="paragraph" w:customStyle="1" w:styleId="133">
    <w:name w:val="Char Char Char Char1"/>
    <w:basedOn w:val="1"/>
    <w:qFormat/>
    <w:uiPriority w:val="0"/>
    <w:rPr>
      <w:szCs w:val="24"/>
    </w:rPr>
  </w:style>
  <w:style w:type="character" w:customStyle="1" w:styleId="134">
    <w:name w:val="正文文本首行缩进 字符"/>
    <w:basedOn w:val="75"/>
    <w:link w:val="47"/>
    <w:qFormat/>
    <w:uiPriority w:val="0"/>
    <w:rPr>
      <w:rFonts w:ascii="宋体" w:hAnsi="宋体"/>
      <w:color w:val="0000FF"/>
      <w:kern w:val="2"/>
      <w:sz w:val="24"/>
      <w:szCs w:val="24"/>
    </w:rPr>
  </w:style>
  <w:style w:type="character" w:customStyle="1" w:styleId="135">
    <w:name w:val="标题 1 Char1"/>
    <w:basedOn w:val="51"/>
    <w:qFormat/>
    <w:uiPriority w:val="0"/>
    <w:rPr>
      <w:rFonts w:eastAsia="宋体"/>
      <w:b/>
      <w:bCs/>
      <w:color w:val="000000"/>
      <w:kern w:val="44"/>
      <w:sz w:val="24"/>
      <w:szCs w:val="32"/>
      <w:lang w:val="en-US" w:eastAsia="zh-CN" w:bidi="ar-SA"/>
    </w:rPr>
  </w:style>
  <w:style w:type="character" w:customStyle="1" w:styleId="136">
    <w:name w:val="标题 2 Char1"/>
    <w:basedOn w:val="51"/>
    <w:qFormat/>
    <w:uiPriority w:val="0"/>
    <w:rPr>
      <w:rFonts w:eastAsia="宋体"/>
      <w:b/>
      <w:bCs/>
      <w:kern w:val="2"/>
      <w:sz w:val="24"/>
      <w:lang w:val="en-US" w:eastAsia="zh-CN" w:bidi="ar-SA"/>
    </w:rPr>
  </w:style>
  <w:style w:type="paragraph" w:customStyle="1" w:styleId="137">
    <w:name w:val="Char Char Char"/>
    <w:basedOn w:val="1"/>
    <w:qFormat/>
    <w:uiPriority w:val="0"/>
    <w:rPr>
      <w:sz w:val="24"/>
      <w:szCs w:val="24"/>
    </w:rPr>
  </w:style>
  <w:style w:type="paragraph" w:customStyle="1" w:styleId="138">
    <w:name w:val="Char1 Char Char Char"/>
    <w:basedOn w:val="1"/>
    <w:qFormat/>
    <w:uiPriority w:val="0"/>
    <w:rPr>
      <w:sz w:val="24"/>
      <w:szCs w:val="24"/>
    </w:rPr>
  </w:style>
  <w:style w:type="paragraph" w:customStyle="1" w:styleId="139">
    <w:name w:val="Char Char Char Char Char Char Char Char Char Char Char Char"/>
    <w:basedOn w:val="1"/>
    <w:qFormat/>
    <w:uiPriority w:val="0"/>
    <w:rPr>
      <w:szCs w:val="24"/>
    </w:rPr>
  </w:style>
  <w:style w:type="paragraph" w:customStyle="1" w:styleId="140">
    <w:name w:val="Char Char2 Char Char Char Char Char Char Char Char Char1"/>
    <w:basedOn w:val="1"/>
    <w:qFormat/>
    <w:uiPriority w:val="0"/>
    <w:rPr>
      <w:sz w:val="24"/>
      <w:szCs w:val="24"/>
    </w:rPr>
  </w:style>
  <w:style w:type="paragraph" w:customStyle="1" w:styleId="141">
    <w:name w:val="Char Char"/>
    <w:basedOn w:val="1"/>
    <w:qFormat/>
    <w:uiPriority w:val="0"/>
    <w:rPr>
      <w:sz w:val="24"/>
      <w:szCs w:val="24"/>
    </w:rPr>
  </w:style>
  <w:style w:type="paragraph" w:customStyle="1" w:styleId="142">
    <w:name w:val="表格"/>
    <w:basedOn w:val="1"/>
    <w:qFormat/>
    <w:uiPriority w:val="0"/>
    <w:pPr>
      <w:adjustRightInd w:val="0"/>
      <w:spacing w:before="60" w:after="60"/>
      <w:jc w:val="center"/>
      <w:textAlignment w:val="baseline"/>
    </w:pPr>
    <w:rPr>
      <w:rFonts w:ascii="宋体"/>
      <w:kern w:val="0"/>
      <w:sz w:val="24"/>
    </w:rPr>
  </w:style>
  <w:style w:type="paragraph" w:customStyle="1" w:styleId="143">
    <w:name w:val="正文文本 31"/>
    <w:basedOn w:val="1"/>
    <w:qFormat/>
    <w:uiPriority w:val="0"/>
    <w:pPr>
      <w:adjustRightInd w:val="0"/>
      <w:spacing w:line="360" w:lineRule="auto"/>
      <w:jc w:val="center"/>
      <w:textAlignment w:val="baseline"/>
    </w:pPr>
    <w:rPr>
      <w:rFonts w:ascii="宋体"/>
      <w:b/>
      <w:color w:val="FF0000"/>
      <w:kern w:val="0"/>
      <w:sz w:val="24"/>
      <w:u w:val="single"/>
    </w:rPr>
  </w:style>
  <w:style w:type="paragraph" w:customStyle="1" w:styleId="144">
    <w:name w:val="样式2"/>
    <w:basedOn w:val="1"/>
    <w:link w:val="168"/>
    <w:qFormat/>
    <w:uiPriority w:val="0"/>
    <w:pPr>
      <w:adjustRightInd w:val="0"/>
      <w:spacing w:line="410" w:lineRule="atLeast"/>
      <w:jc w:val="left"/>
      <w:textAlignment w:val="baseline"/>
    </w:pPr>
    <w:rPr>
      <w:kern w:val="0"/>
      <w:sz w:val="24"/>
    </w:rPr>
  </w:style>
  <w:style w:type="paragraph" w:customStyle="1" w:styleId="145">
    <w:name w:val="1-表内"/>
    <w:basedOn w:val="1"/>
    <w:qFormat/>
    <w:uiPriority w:val="0"/>
    <w:rPr>
      <w:rFonts w:ascii="宋体" w:hAnsi="宋体"/>
      <w:szCs w:val="21"/>
    </w:rPr>
  </w:style>
  <w:style w:type="paragraph" w:customStyle="1" w:styleId="146">
    <w:name w:val="表格侧编号"/>
    <w:next w:val="1"/>
    <w:qFormat/>
    <w:uiPriority w:val="0"/>
    <w:pPr>
      <w:widowControl w:val="0"/>
      <w:spacing w:line="360" w:lineRule="auto"/>
      <w:jc w:val="center"/>
    </w:pPr>
    <w:rPr>
      <w:rFonts w:ascii="宋体" w:hAnsi="Times New Roman" w:eastAsia="宋体" w:cs="Times New Roman"/>
      <w:kern w:val="2"/>
      <w:sz w:val="24"/>
      <w:lang w:val="en-US" w:eastAsia="zh-CN" w:bidi="ar-SA"/>
    </w:rPr>
  </w:style>
  <w:style w:type="paragraph" w:customStyle="1" w:styleId="147">
    <w:name w:val="Char Char Char Char Char Char Char Char Char Char Char Char1 Char Char Char Char"/>
    <w:basedOn w:val="1"/>
    <w:qFormat/>
    <w:uiPriority w:val="0"/>
    <w:rPr>
      <w:szCs w:val="24"/>
    </w:rPr>
  </w:style>
  <w:style w:type="character" w:customStyle="1" w:styleId="148">
    <w:name w:val="章节标题 Char Char"/>
    <w:basedOn w:val="51"/>
    <w:qFormat/>
    <w:uiPriority w:val="0"/>
    <w:rPr>
      <w:kern w:val="44"/>
      <w:sz w:val="44"/>
      <w:szCs w:val="44"/>
    </w:rPr>
  </w:style>
  <w:style w:type="paragraph" w:customStyle="1" w:styleId="149">
    <w:name w:val="Char Char Char Char Char Char1"/>
    <w:basedOn w:val="1"/>
    <w:qFormat/>
    <w:uiPriority w:val="0"/>
    <w:rPr>
      <w:szCs w:val="24"/>
    </w:rPr>
  </w:style>
  <w:style w:type="paragraph" w:customStyle="1" w:styleId="150">
    <w:name w:val="报告正文"/>
    <w:basedOn w:val="1"/>
    <w:qFormat/>
    <w:uiPriority w:val="0"/>
    <w:pPr>
      <w:spacing w:line="400" w:lineRule="exact"/>
      <w:ind w:firstLine="482"/>
    </w:pPr>
    <w:rPr>
      <w:lang w:bidi="he-IL"/>
    </w:rPr>
  </w:style>
  <w:style w:type="paragraph" w:customStyle="1" w:styleId="151">
    <w:name w:val="正文文本 32"/>
    <w:basedOn w:val="1"/>
    <w:qFormat/>
    <w:uiPriority w:val="0"/>
    <w:pPr>
      <w:adjustRightInd w:val="0"/>
      <w:spacing w:line="360" w:lineRule="auto"/>
      <w:jc w:val="center"/>
      <w:textAlignment w:val="baseline"/>
    </w:pPr>
    <w:rPr>
      <w:rFonts w:ascii="宋体"/>
      <w:b/>
      <w:color w:val="FF0000"/>
      <w:kern w:val="0"/>
      <w:sz w:val="24"/>
      <w:u w:val="single"/>
    </w:rPr>
  </w:style>
  <w:style w:type="paragraph" w:customStyle="1" w:styleId="152">
    <w:name w:val="Char Char Char2"/>
    <w:basedOn w:val="1"/>
    <w:qFormat/>
    <w:uiPriority w:val="0"/>
    <w:rPr>
      <w:szCs w:val="24"/>
    </w:rPr>
  </w:style>
  <w:style w:type="paragraph" w:customStyle="1" w:styleId="153">
    <w:name w:val="默认段落字体 Para Char Char Char Char"/>
    <w:basedOn w:val="1"/>
    <w:qFormat/>
    <w:uiPriority w:val="0"/>
    <w:rPr>
      <w:szCs w:val="24"/>
    </w:rPr>
  </w:style>
  <w:style w:type="paragraph" w:customStyle="1" w:styleId="154">
    <w:name w:val="Char Char1"/>
    <w:basedOn w:val="1"/>
    <w:qFormat/>
    <w:uiPriority w:val="0"/>
    <w:pPr>
      <w:adjustRightInd w:val="0"/>
      <w:spacing w:line="360" w:lineRule="atLeast"/>
      <w:jc w:val="left"/>
      <w:textAlignment w:val="baseline"/>
    </w:pPr>
    <w:rPr>
      <w:kern w:val="0"/>
      <w:sz w:val="24"/>
    </w:rPr>
  </w:style>
  <w:style w:type="character" w:customStyle="1" w:styleId="155">
    <w:name w:val="章节标题 Char"/>
    <w:qFormat/>
    <w:uiPriority w:val="0"/>
    <w:rPr>
      <w:rFonts w:eastAsia="宋体"/>
      <w:b/>
      <w:bCs/>
      <w:kern w:val="44"/>
      <w:sz w:val="44"/>
      <w:szCs w:val="44"/>
      <w:lang w:val="en-US" w:eastAsia="zh-CN" w:bidi="ar-SA"/>
    </w:rPr>
  </w:style>
  <w:style w:type="character" w:customStyle="1" w:styleId="156">
    <w:name w:val="标题 2 Char"/>
    <w:qFormat/>
    <w:uiPriority w:val="0"/>
    <w:rPr>
      <w:rFonts w:ascii="Arial" w:hAnsi="Arial" w:eastAsia="黑体"/>
      <w:b/>
      <w:bCs/>
      <w:kern w:val="2"/>
      <w:sz w:val="32"/>
      <w:szCs w:val="32"/>
      <w:lang w:val="en-US" w:eastAsia="zh-CN" w:bidi="ar-SA"/>
    </w:rPr>
  </w:style>
  <w:style w:type="character" w:customStyle="1" w:styleId="157">
    <w:name w:val="标题 3 Char"/>
    <w:qFormat/>
    <w:uiPriority w:val="0"/>
    <w:rPr>
      <w:rFonts w:eastAsia="宋体"/>
      <w:b/>
      <w:bCs/>
      <w:kern w:val="2"/>
      <w:sz w:val="32"/>
      <w:szCs w:val="32"/>
      <w:lang w:val="en-US" w:eastAsia="zh-CN" w:bidi="ar-SA"/>
    </w:rPr>
  </w:style>
  <w:style w:type="character" w:customStyle="1" w:styleId="158">
    <w:name w:val="标题 4 Char"/>
    <w:qFormat/>
    <w:uiPriority w:val="0"/>
    <w:rPr>
      <w:rFonts w:ascii="Arial" w:hAnsi="Arial" w:eastAsia="黑体"/>
      <w:b/>
      <w:bCs/>
      <w:kern w:val="2"/>
      <w:sz w:val="28"/>
      <w:szCs w:val="28"/>
      <w:lang w:val="en-US" w:eastAsia="zh-CN" w:bidi="ar-SA"/>
    </w:rPr>
  </w:style>
  <w:style w:type="character" w:customStyle="1" w:styleId="159">
    <w:name w:val="正文缩进 Char1"/>
    <w:qFormat/>
    <w:uiPriority w:val="0"/>
    <w:rPr>
      <w:rFonts w:eastAsia="宋体"/>
      <w:kern w:val="2"/>
      <w:sz w:val="21"/>
      <w:szCs w:val="24"/>
      <w:lang w:val="en-US" w:eastAsia="zh-CN" w:bidi="ar-SA"/>
    </w:rPr>
  </w:style>
  <w:style w:type="character" w:customStyle="1" w:styleId="160">
    <w:name w:val="标题 5 Char"/>
    <w:qFormat/>
    <w:uiPriority w:val="0"/>
    <w:rPr>
      <w:rFonts w:ascii="小标宋" w:eastAsia="宋体"/>
      <w:kern w:val="2"/>
      <w:sz w:val="24"/>
      <w:szCs w:val="24"/>
      <w:lang w:val="en-US" w:eastAsia="zh-CN" w:bidi="he-IL"/>
    </w:rPr>
  </w:style>
  <w:style w:type="character" w:customStyle="1" w:styleId="161">
    <w:name w:val="标题 6 Char"/>
    <w:qFormat/>
    <w:uiPriority w:val="0"/>
    <w:rPr>
      <w:rFonts w:ascii="Arial" w:hAnsi="Arial" w:eastAsia="黑体"/>
      <w:kern w:val="2"/>
      <w:sz w:val="24"/>
      <w:szCs w:val="24"/>
      <w:lang w:val="en-US" w:eastAsia="zh-CN" w:bidi="he-IL"/>
    </w:rPr>
  </w:style>
  <w:style w:type="character" w:customStyle="1" w:styleId="162">
    <w:name w:val="标题 7 Char"/>
    <w:qFormat/>
    <w:uiPriority w:val="0"/>
    <w:rPr>
      <w:rFonts w:ascii="宋体" w:eastAsia="宋体"/>
      <w:kern w:val="2"/>
      <w:sz w:val="24"/>
      <w:szCs w:val="24"/>
      <w:lang w:val="en-US" w:eastAsia="zh-CN" w:bidi="he-IL"/>
    </w:rPr>
  </w:style>
  <w:style w:type="character" w:customStyle="1" w:styleId="163">
    <w:name w:val="标题 9 Char"/>
    <w:qFormat/>
    <w:uiPriority w:val="0"/>
    <w:rPr>
      <w:rFonts w:ascii="Arial" w:hAnsi="Arial" w:eastAsia="黑体"/>
      <w:kern w:val="2"/>
      <w:sz w:val="21"/>
      <w:szCs w:val="21"/>
      <w:lang w:val="en-US" w:eastAsia="zh-CN" w:bidi="ar-SA"/>
    </w:rPr>
  </w:style>
  <w:style w:type="character" w:customStyle="1" w:styleId="164">
    <w:name w:val="日期 Char"/>
    <w:qFormat/>
    <w:uiPriority w:val="0"/>
    <w:rPr>
      <w:rFonts w:eastAsia="宋体"/>
      <w:kern w:val="2"/>
      <w:sz w:val="21"/>
      <w:szCs w:val="24"/>
      <w:lang w:val="en-US" w:eastAsia="zh-CN" w:bidi="ar-SA"/>
    </w:rPr>
  </w:style>
  <w:style w:type="character" w:customStyle="1" w:styleId="165">
    <w:name w:val="页眉 Char"/>
    <w:qFormat/>
    <w:uiPriority w:val="0"/>
    <w:rPr>
      <w:rFonts w:eastAsia="宋体"/>
      <w:kern w:val="2"/>
      <w:sz w:val="18"/>
      <w:szCs w:val="18"/>
      <w:lang w:val="en-US" w:eastAsia="zh-CN" w:bidi="ar-SA"/>
    </w:rPr>
  </w:style>
  <w:style w:type="character" w:customStyle="1" w:styleId="166">
    <w:name w:val="文档结构图 Char"/>
    <w:qFormat/>
    <w:uiPriority w:val="0"/>
    <w:rPr>
      <w:rFonts w:eastAsia="宋体"/>
      <w:sz w:val="21"/>
      <w:szCs w:val="21"/>
      <w:lang w:val="zh-CN" w:eastAsia="zh-CN" w:bidi="ar-SA"/>
    </w:rPr>
  </w:style>
  <w:style w:type="character" w:customStyle="1" w:styleId="167">
    <w:name w:val="正文文本 Char"/>
    <w:qFormat/>
    <w:uiPriority w:val="0"/>
    <w:rPr>
      <w:rFonts w:eastAsia="宋体"/>
      <w:sz w:val="24"/>
      <w:lang w:val="zh-CN" w:eastAsia="zh-CN" w:bidi="ar-SA"/>
    </w:rPr>
  </w:style>
  <w:style w:type="character" w:customStyle="1" w:styleId="168">
    <w:name w:val="样式2 Char1"/>
    <w:link w:val="144"/>
    <w:qFormat/>
    <w:uiPriority w:val="0"/>
    <w:rPr>
      <w:sz w:val="24"/>
    </w:rPr>
  </w:style>
  <w:style w:type="character" w:customStyle="1" w:styleId="169">
    <w:name w:val="正文文本缩进 Char"/>
    <w:qFormat/>
    <w:uiPriority w:val="0"/>
    <w:rPr>
      <w:rFonts w:eastAsia="宋体"/>
      <w:kern w:val="2"/>
      <w:sz w:val="21"/>
      <w:szCs w:val="24"/>
      <w:lang w:val="en-US" w:eastAsia="zh-CN" w:bidi="ar-SA"/>
    </w:rPr>
  </w:style>
  <w:style w:type="paragraph" w:customStyle="1" w:styleId="170">
    <w:name w:val="样式"/>
    <w:link w:val="171"/>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71">
    <w:name w:val="样式 Char"/>
    <w:link w:val="170"/>
    <w:qFormat/>
    <w:uiPriority w:val="0"/>
    <w:rPr>
      <w:rFonts w:ascii="宋体" w:hAnsi="宋体" w:cs="宋体"/>
      <w:sz w:val="24"/>
      <w:szCs w:val="24"/>
    </w:rPr>
  </w:style>
  <w:style w:type="character" w:customStyle="1" w:styleId="172">
    <w:name w:val="样式1 Char"/>
    <w:link w:val="129"/>
    <w:qFormat/>
    <w:uiPriority w:val="0"/>
    <w:rPr>
      <w:rFonts w:ascii="宋体"/>
      <w:sz w:val="24"/>
      <w:szCs w:val="24"/>
    </w:rPr>
  </w:style>
  <w:style w:type="character" w:customStyle="1" w:styleId="173">
    <w:name w:val="正文1 Char"/>
    <w:link w:val="128"/>
    <w:qFormat/>
    <w:uiPriority w:val="0"/>
    <w:rPr>
      <w:rFonts w:ascii="宋体"/>
      <w:sz w:val="24"/>
    </w:rPr>
  </w:style>
  <w:style w:type="character" w:customStyle="1" w:styleId="174">
    <w:name w:val="批注框文本 Char"/>
    <w:qFormat/>
    <w:uiPriority w:val="0"/>
    <w:rPr>
      <w:rFonts w:eastAsia="宋体"/>
      <w:kern w:val="2"/>
      <w:sz w:val="18"/>
      <w:szCs w:val="18"/>
      <w:lang w:val="en-US" w:eastAsia="zh-CN" w:bidi="ar-SA"/>
    </w:rPr>
  </w:style>
  <w:style w:type="character" w:customStyle="1" w:styleId="175">
    <w:name w:val="正文文本缩进 2 Char"/>
    <w:link w:val="176"/>
    <w:qFormat/>
    <w:uiPriority w:val="0"/>
    <w:rPr>
      <w:sz w:val="24"/>
    </w:rPr>
  </w:style>
  <w:style w:type="paragraph" w:customStyle="1" w:styleId="176">
    <w:name w:val="正文文本缩进 21"/>
    <w:basedOn w:val="1"/>
    <w:link w:val="175"/>
    <w:qFormat/>
    <w:uiPriority w:val="0"/>
    <w:pPr>
      <w:ind w:firstLine="840"/>
    </w:pPr>
    <w:rPr>
      <w:kern w:val="0"/>
      <w:sz w:val="24"/>
    </w:rPr>
  </w:style>
  <w:style w:type="character" w:customStyle="1" w:styleId="177">
    <w:name w:val="标书正文 Char Char"/>
    <w:link w:val="178"/>
    <w:qFormat/>
    <w:uiPriority w:val="0"/>
    <w:rPr>
      <w:kern w:val="2"/>
      <w:sz w:val="24"/>
      <w:szCs w:val="24"/>
    </w:rPr>
  </w:style>
  <w:style w:type="paragraph" w:customStyle="1" w:styleId="178">
    <w:name w:val="标书正文"/>
    <w:basedOn w:val="1"/>
    <w:link w:val="177"/>
    <w:qFormat/>
    <w:uiPriority w:val="0"/>
    <w:pPr>
      <w:spacing w:line="360" w:lineRule="auto"/>
      <w:ind w:firstLine="200" w:firstLineChars="200"/>
      <w:jc w:val="left"/>
    </w:pPr>
    <w:rPr>
      <w:sz w:val="24"/>
      <w:szCs w:val="24"/>
    </w:rPr>
  </w:style>
  <w:style w:type="character" w:customStyle="1" w:styleId="179">
    <w:name w:val="二级标题 Char Char"/>
    <w:link w:val="180"/>
    <w:qFormat/>
    <w:uiPriority w:val="0"/>
    <w:rPr>
      <w:rFonts w:ascii="宋体"/>
      <w:bCs/>
      <w:color w:val="000000"/>
      <w:sz w:val="24"/>
      <w:szCs w:val="24"/>
    </w:rPr>
  </w:style>
  <w:style w:type="paragraph" w:customStyle="1" w:styleId="180">
    <w:name w:val="二级标题"/>
    <w:basedOn w:val="1"/>
    <w:link w:val="179"/>
    <w:qFormat/>
    <w:uiPriority w:val="0"/>
    <w:pPr>
      <w:adjustRightInd w:val="0"/>
      <w:spacing w:line="360" w:lineRule="auto"/>
      <w:jc w:val="center"/>
      <w:textAlignment w:val="baseline"/>
      <w:outlineLvl w:val="1"/>
    </w:pPr>
    <w:rPr>
      <w:rFonts w:ascii="宋体"/>
      <w:bCs/>
      <w:color w:val="000000"/>
      <w:kern w:val="0"/>
      <w:sz w:val="24"/>
      <w:szCs w:val="24"/>
    </w:rPr>
  </w:style>
  <w:style w:type="character" w:customStyle="1" w:styleId="181">
    <w:name w:val="样式 标题 1b1章节标题章标题 1-*+h11st levelSection Headl1 + 四号 Char Char"/>
    <w:link w:val="182"/>
    <w:qFormat/>
    <w:uiPriority w:val="0"/>
    <w:rPr>
      <w:b/>
      <w:bCs/>
      <w:color w:val="000000"/>
      <w:kern w:val="44"/>
      <w:sz w:val="28"/>
      <w:szCs w:val="28"/>
    </w:rPr>
  </w:style>
  <w:style w:type="paragraph" w:customStyle="1" w:styleId="182">
    <w:name w:val="样式 标题 1b1章节标题章标题 1-*+h11st levelSection Headl1 + 四号"/>
    <w:basedOn w:val="183"/>
    <w:link w:val="181"/>
    <w:qFormat/>
    <w:uiPriority w:val="0"/>
    <w:pPr>
      <w:tabs>
        <w:tab w:val="left" w:leader="dot" w:pos="0"/>
        <w:tab w:val="left" w:pos="900"/>
      </w:tabs>
      <w:spacing w:before="0"/>
      <w:ind w:left="0" w:firstLine="0"/>
    </w:pPr>
    <w:rPr>
      <w:bCs/>
      <w:color w:val="000000"/>
      <w:szCs w:val="28"/>
    </w:rPr>
  </w:style>
  <w:style w:type="paragraph" w:customStyle="1" w:styleId="183">
    <w:name w:val="标题1"/>
    <w:basedOn w:val="2"/>
    <w:qFormat/>
    <w:uiPriority w:val="0"/>
    <w:pPr>
      <w:keepLines/>
      <w:tabs>
        <w:tab w:val="left" w:pos="900"/>
      </w:tabs>
      <w:topLinePunct w:val="0"/>
      <w:adjustRightInd w:val="0"/>
      <w:spacing w:before="120" w:line="360" w:lineRule="auto"/>
      <w:ind w:left="900" w:hanging="420"/>
      <w:jc w:val="left"/>
      <w:textAlignment w:val="baseline"/>
    </w:pPr>
    <w:rPr>
      <w:b/>
      <w:kern w:val="44"/>
      <w:szCs w:val="24"/>
    </w:rPr>
  </w:style>
  <w:style w:type="character" w:customStyle="1" w:styleId="184">
    <w:name w:val="YJB1 Char Char"/>
    <w:link w:val="185"/>
    <w:qFormat/>
    <w:uiPriority w:val="0"/>
    <w:rPr>
      <w:rFonts w:ascii="Arial" w:hAnsi="Arial"/>
      <w:kern w:val="2"/>
      <w:sz w:val="24"/>
      <w:szCs w:val="24"/>
    </w:rPr>
  </w:style>
  <w:style w:type="paragraph" w:customStyle="1" w:styleId="185">
    <w:name w:val="YJB1"/>
    <w:basedOn w:val="1"/>
    <w:link w:val="184"/>
    <w:qFormat/>
    <w:uiPriority w:val="0"/>
    <w:pPr>
      <w:spacing w:line="360" w:lineRule="auto"/>
      <w:ind w:left="450" w:leftChars="450"/>
    </w:pPr>
    <w:rPr>
      <w:rFonts w:ascii="Arial" w:hAnsi="Arial"/>
      <w:sz w:val="24"/>
      <w:szCs w:val="24"/>
    </w:rPr>
  </w:style>
  <w:style w:type="character" w:customStyle="1" w:styleId="186">
    <w:name w:val="YJB2 Char Char"/>
    <w:link w:val="187"/>
    <w:qFormat/>
    <w:uiPriority w:val="0"/>
    <w:rPr>
      <w:rFonts w:ascii="Arial" w:hAnsi="Arial"/>
      <w:kern w:val="2"/>
      <w:sz w:val="24"/>
      <w:szCs w:val="24"/>
    </w:rPr>
  </w:style>
  <w:style w:type="paragraph" w:customStyle="1" w:styleId="187">
    <w:name w:val="YJB2"/>
    <w:basedOn w:val="1"/>
    <w:link w:val="186"/>
    <w:qFormat/>
    <w:uiPriority w:val="0"/>
    <w:pPr>
      <w:spacing w:line="360" w:lineRule="auto"/>
      <w:ind w:left="450" w:hanging="450" w:hangingChars="450"/>
    </w:pPr>
    <w:rPr>
      <w:rFonts w:ascii="Arial" w:hAnsi="Arial"/>
      <w:sz w:val="24"/>
      <w:szCs w:val="24"/>
    </w:rPr>
  </w:style>
  <w:style w:type="character" w:customStyle="1" w:styleId="188">
    <w:name w:val="样式 标题 1章节标题 + 三号 Char Char"/>
    <w:link w:val="189"/>
    <w:qFormat/>
    <w:uiPriority w:val="0"/>
    <w:rPr>
      <w:b/>
      <w:bCs/>
      <w:kern w:val="44"/>
      <w:sz w:val="32"/>
      <w:szCs w:val="44"/>
    </w:rPr>
  </w:style>
  <w:style w:type="paragraph" w:customStyle="1" w:styleId="189">
    <w:name w:val="样式 标题 1章节标题 + 三号"/>
    <w:basedOn w:val="2"/>
    <w:link w:val="188"/>
    <w:qFormat/>
    <w:uiPriority w:val="0"/>
    <w:pPr>
      <w:keepLines/>
      <w:tabs>
        <w:tab w:val="left" w:pos="0"/>
        <w:tab w:val="left" w:pos="360"/>
      </w:tabs>
      <w:topLinePunct w:val="0"/>
      <w:adjustRightInd w:val="0"/>
      <w:spacing w:before="340" w:after="330" w:line="578" w:lineRule="atLeast"/>
      <w:ind w:hanging="360"/>
      <w:jc w:val="left"/>
      <w:textAlignment w:val="baseline"/>
    </w:pPr>
    <w:rPr>
      <w:b/>
      <w:bCs/>
      <w:kern w:val="44"/>
      <w:sz w:val="32"/>
      <w:szCs w:val="44"/>
    </w:rPr>
  </w:style>
  <w:style w:type="paragraph" w:customStyle="1" w:styleId="190">
    <w:name w:val="正文文本缩进 22"/>
    <w:basedOn w:val="1"/>
    <w:qFormat/>
    <w:uiPriority w:val="0"/>
    <w:pPr>
      <w:ind w:firstLine="840"/>
    </w:pPr>
    <w:rPr>
      <w:kern w:val="0"/>
      <w:sz w:val="24"/>
      <w:lang w:val="zh-CN"/>
    </w:rPr>
  </w:style>
  <w:style w:type="paragraph" w:customStyle="1" w:styleId="191">
    <w:name w:val="Char Char Char Char Char Char Char Char Char Char Char Char Char Char"/>
    <w:basedOn w:val="1"/>
    <w:qFormat/>
    <w:uiPriority w:val="0"/>
    <w:pPr>
      <w:spacing w:line="360" w:lineRule="auto"/>
      <w:ind w:firstLine="200" w:firstLineChars="200"/>
    </w:pPr>
    <w:rPr>
      <w:rFonts w:ascii="宋体" w:cs="宋体"/>
      <w:sz w:val="24"/>
      <w:szCs w:val="24"/>
    </w:rPr>
  </w:style>
  <w:style w:type="character" w:customStyle="1" w:styleId="192">
    <w:name w:val="正文文本 3 字符"/>
    <w:basedOn w:val="51"/>
    <w:link w:val="19"/>
    <w:qFormat/>
    <w:uiPriority w:val="0"/>
    <w:rPr>
      <w:kern w:val="2"/>
      <w:sz w:val="16"/>
      <w:szCs w:val="16"/>
    </w:rPr>
  </w:style>
  <w:style w:type="character" w:customStyle="1" w:styleId="193">
    <w:name w:val="信息标题 字符"/>
    <w:basedOn w:val="51"/>
    <w:link w:val="41"/>
    <w:qFormat/>
    <w:uiPriority w:val="0"/>
    <w:rPr>
      <w:rFonts w:ascii="Arial" w:hAnsi="Arial"/>
      <w:spacing w:val="-5"/>
    </w:rPr>
  </w:style>
  <w:style w:type="paragraph" w:customStyle="1" w:styleId="194">
    <w:name w:val="日期2"/>
    <w:basedOn w:val="1"/>
    <w:next w:val="1"/>
    <w:qFormat/>
    <w:uiPriority w:val="0"/>
    <w:pPr>
      <w:adjustRightInd w:val="0"/>
      <w:spacing w:line="312" w:lineRule="atLeast"/>
      <w:textAlignment w:val="baseline"/>
    </w:pPr>
    <w:rPr>
      <w:kern w:val="0"/>
      <w:sz w:val="28"/>
      <w:szCs w:val="28"/>
    </w:rPr>
  </w:style>
  <w:style w:type="paragraph" w:customStyle="1" w:styleId="195">
    <w:name w:val="正文文本1"/>
    <w:basedOn w:val="1"/>
    <w:qFormat/>
    <w:uiPriority w:val="0"/>
    <w:pPr>
      <w:tabs>
        <w:tab w:val="left" w:pos="720"/>
      </w:tabs>
      <w:adjustRightInd w:val="0"/>
      <w:spacing w:line="360" w:lineRule="auto"/>
      <w:textAlignment w:val="baseline"/>
    </w:pPr>
    <w:rPr>
      <w:rFonts w:ascii="宋体"/>
      <w:kern w:val="0"/>
      <w:sz w:val="28"/>
      <w:szCs w:val="28"/>
    </w:rPr>
  </w:style>
  <w:style w:type="paragraph" w:customStyle="1" w:styleId="196">
    <w:name w:val="纯文本2"/>
    <w:basedOn w:val="1"/>
    <w:qFormat/>
    <w:uiPriority w:val="0"/>
    <w:pPr>
      <w:autoSpaceDE w:val="0"/>
      <w:autoSpaceDN w:val="0"/>
      <w:adjustRightInd w:val="0"/>
    </w:pPr>
    <w:rPr>
      <w:rFonts w:ascii="楷体_GB2312" w:eastAsia="楷体_GB2312"/>
      <w:kern w:val="0"/>
      <w:sz w:val="28"/>
      <w:szCs w:val="28"/>
    </w:rPr>
  </w:style>
  <w:style w:type="paragraph" w:customStyle="1" w:styleId="197">
    <w:name w:val="font5"/>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98">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99">
    <w:name w:val="font7"/>
    <w:basedOn w:val="1"/>
    <w:qFormat/>
    <w:uiPriority w:val="0"/>
    <w:pPr>
      <w:widowControl/>
      <w:spacing w:before="100" w:beforeAutospacing="1" w:after="100" w:afterAutospacing="1"/>
      <w:jc w:val="left"/>
    </w:pPr>
    <w:rPr>
      <w:rFonts w:ascii="宋体" w:hAnsi="宋体" w:cs="宋体"/>
      <w:kern w:val="0"/>
      <w:szCs w:val="21"/>
    </w:rPr>
  </w:style>
  <w:style w:type="paragraph" w:customStyle="1" w:styleId="200">
    <w:name w:val="xl70"/>
    <w:basedOn w:val="1"/>
    <w:qFormat/>
    <w:uiPriority w:val="0"/>
    <w:pPr>
      <w:widowControl/>
      <w:spacing w:before="100" w:beforeAutospacing="1" w:after="100" w:afterAutospacing="1"/>
      <w:jc w:val="left"/>
    </w:pPr>
    <w:rPr>
      <w:rFonts w:ascii="宋体" w:hAnsi="宋体" w:cs="宋体"/>
      <w:kern w:val="0"/>
      <w:szCs w:val="21"/>
    </w:rPr>
  </w:style>
  <w:style w:type="paragraph" w:customStyle="1" w:styleId="201">
    <w:name w:val="xl71"/>
    <w:basedOn w:val="1"/>
    <w:qFormat/>
    <w:uiPriority w:val="0"/>
    <w:pPr>
      <w:widowControl/>
      <w:spacing w:before="100" w:beforeAutospacing="1" w:after="100" w:afterAutospacing="1"/>
      <w:jc w:val="right"/>
    </w:pPr>
    <w:rPr>
      <w:rFonts w:ascii="宋体" w:hAnsi="宋体" w:cs="宋体"/>
      <w:kern w:val="0"/>
      <w:szCs w:val="21"/>
    </w:rPr>
  </w:style>
  <w:style w:type="paragraph" w:customStyle="1" w:styleId="20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0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0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20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06">
    <w:name w:val="xl7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07">
    <w:name w:val="xl7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08">
    <w:name w:val="xl78"/>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Cs w:val="21"/>
    </w:rPr>
  </w:style>
  <w:style w:type="paragraph" w:customStyle="1" w:styleId="209">
    <w:name w:val="xl79"/>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Cs w:val="21"/>
    </w:rPr>
  </w:style>
  <w:style w:type="paragraph" w:customStyle="1" w:styleId="210">
    <w:name w:val="xl80"/>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Cs w:val="21"/>
    </w:rPr>
  </w:style>
  <w:style w:type="paragraph" w:customStyle="1" w:styleId="211">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Cs w:val="21"/>
    </w:rPr>
  </w:style>
  <w:style w:type="paragraph" w:customStyle="1" w:styleId="212">
    <w:name w:val="xl82"/>
    <w:basedOn w:val="1"/>
    <w:qFormat/>
    <w:uiPriority w:val="0"/>
    <w:pPr>
      <w:widowControl/>
      <w:spacing w:before="100" w:beforeAutospacing="1" w:after="100" w:afterAutospacing="1"/>
      <w:jc w:val="center"/>
    </w:pPr>
    <w:rPr>
      <w:rFonts w:ascii="宋体" w:hAnsi="宋体" w:cs="宋体"/>
      <w:b/>
      <w:bCs/>
      <w:kern w:val="0"/>
      <w:szCs w:val="21"/>
    </w:rPr>
  </w:style>
  <w:style w:type="paragraph" w:customStyle="1" w:styleId="213">
    <w:name w:val="Char2"/>
    <w:basedOn w:val="1"/>
    <w:qFormat/>
    <w:uiPriority w:val="0"/>
    <w:pPr>
      <w:adjustRightInd w:val="0"/>
      <w:spacing w:line="360" w:lineRule="atLeast"/>
    </w:pPr>
    <w:rPr>
      <w:szCs w:val="24"/>
    </w:rPr>
  </w:style>
  <w:style w:type="paragraph" w:customStyle="1" w:styleId="214">
    <w:name w:val="列出段落"/>
    <w:basedOn w:val="1"/>
    <w:qFormat/>
    <w:uiPriority w:val="0"/>
    <w:pPr>
      <w:ind w:firstLine="420" w:firstLineChars="200"/>
    </w:pPr>
    <w:rPr>
      <w:rFonts w:ascii="Calibri" w:hAnsi="Calibri"/>
      <w:szCs w:val="22"/>
    </w:rPr>
  </w:style>
  <w:style w:type="paragraph" w:customStyle="1" w:styleId="215">
    <w:name w:val="TOC 标题1"/>
    <w:basedOn w:val="2"/>
    <w:next w:val="1"/>
    <w:qFormat/>
    <w:uiPriority w:val="39"/>
    <w:pPr>
      <w:keepLines/>
      <w:widowControl/>
      <w:topLinePunct w:val="0"/>
      <w:spacing w:before="480" w:line="276" w:lineRule="auto"/>
      <w:ind w:left="0"/>
      <w:jc w:val="left"/>
      <w:outlineLvl w:val="9"/>
    </w:pPr>
    <w:rPr>
      <w:rFonts w:ascii="Cambria" w:hAnsi="Cambria"/>
      <w:b/>
      <w:bCs/>
      <w:color w:val="365F91"/>
      <w:kern w:val="0"/>
      <w:szCs w:val="28"/>
    </w:rPr>
  </w:style>
  <w:style w:type="paragraph" w:customStyle="1" w:styleId="216">
    <w:name w:val="样式3"/>
    <w:basedOn w:val="2"/>
    <w:qFormat/>
    <w:uiPriority w:val="0"/>
    <w:pPr>
      <w:keepLines/>
      <w:topLinePunct w:val="0"/>
      <w:adjustRightInd w:val="0"/>
      <w:spacing w:line="460" w:lineRule="exact"/>
      <w:ind w:left="0"/>
      <w:jc w:val="left"/>
      <w:textAlignment w:val="baseline"/>
    </w:pPr>
    <w:rPr>
      <w:rFonts w:ascii="宋体"/>
      <w:b/>
      <w:kern w:val="44"/>
    </w:rPr>
  </w:style>
  <w:style w:type="paragraph" w:customStyle="1" w:styleId="217">
    <w:name w:val="样式4"/>
    <w:basedOn w:val="2"/>
    <w:qFormat/>
    <w:uiPriority w:val="0"/>
    <w:pPr>
      <w:keepLines/>
      <w:topLinePunct w:val="0"/>
      <w:adjustRightInd w:val="0"/>
      <w:spacing w:line="460" w:lineRule="exact"/>
      <w:ind w:left="0"/>
      <w:jc w:val="left"/>
      <w:textAlignment w:val="baseline"/>
    </w:pPr>
    <w:rPr>
      <w:rFonts w:ascii="宋体" w:hAnsi="宋体"/>
      <w:b/>
      <w:kern w:val="44"/>
      <w:sz w:val="32"/>
    </w:rPr>
  </w:style>
  <w:style w:type="paragraph" w:customStyle="1" w:styleId="218">
    <w:name w:val="样式5"/>
    <w:basedOn w:val="2"/>
    <w:qFormat/>
    <w:uiPriority w:val="0"/>
    <w:pPr>
      <w:keepLines/>
      <w:topLinePunct w:val="0"/>
      <w:adjustRightInd w:val="0"/>
      <w:spacing w:line="460" w:lineRule="exact"/>
      <w:ind w:left="0"/>
      <w:jc w:val="left"/>
      <w:textAlignment w:val="baseline"/>
    </w:pPr>
    <w:rPr>
      <w:rFonts w:ascii="宋体" w:hAnsi="宋体"/>
      <w:b/>
      <w:kern w:val="44"/>
      <w:sz w:val="32"/>
    </w:rPr>
  </w:style>
  <w:style w:type="paragraph" w:customStyle="1" w:styleId="219">
    <w:name w:val="样式6"/>
    <w:basedOn w:val="2"/>
    <w:qFormat/>
    <w:uiPriority w:val="0"/>
    <w:pPr>
      <w:keepLines/>
      <w:topLinePunct w:val="0"/>
      <w:adjustRightInd w:val="0"/>
      <w:spacing w:line="460" w:lineRule="exact"/>
      <w:ind w:left="0"/>
      <w:jc w:val="left"/>
      <w:textAlignment w:val="baseline"/>
    </w:pPr>
    <w:rPr>
      <w:rFonts w:ascii="宋体" w:hAnsi="宋体"/>
      <w:b/>
      <w:kern w:val="44"/>
      <w:sz w:val="32"/>
    </w:rPr>
  </w:style>
  <w:style w:type="paragraph" w:customStyle="1" w:styleId="220">
    <w:name w:val="Char Char Char Char Char Char Char1"/>
    <w:basedOn w:val="1"/>
    <w:qFormat/>
    <w:uiPriority w:val="0"/>
    <w:rPr>
      <w:szCs w:val="24"/>
    </w:rPr>
  </w:style>
  <w:style w:type="paragraph" w:customStyle="1" w:styleId="221">
    <w:name w:val="Char Char Char Char Char Char Char Char Char1"/>
    <w:basedOn w:val="1"/>
    <w:qFormat/>
    <w:uiPriority w:val="0"/>
    <w:rPr>
      <w:szCs w:val="24"/>
    </w:rPr>
  </w:style>
  <w:style w:type="paragraph" w:customStyle="1" w:styleId="222">
    <w:name w:val="纯文本3"/>
    <w:basedOn w:val="1"/>
    <w:qFormat/>
    <w:uiPriority w:val="0"/>
    <w:pPr>
      <w:adjustRightInd w:val="0"/>
      <w:textAlignment w:val="baseline"/>
    </w:pPr>
    <w:rPr>
      <w:rFonts w:ascii="宋体" w:hAnsi="Courier New"/>
    </w:rPr>
  </w:style>
  <w:style w:type="paragraph" w:customStyle="1" w:styleId="223">
    <w:name w:val="样式20"/>
    <w:basedOn w:val="44"/>
    <w:next w:val="44"/>
    <w:qFormat/>
    <w:uiPriority w:val="0"/>
    <w:pPr>
      <w:spacing w:line="360" w:lineRule="auto"/>
      <w:jc w:val="both"/>
      <w:textAlignment w:val="auto"/>
    </w:pPr>
  </w:style>
  <w:style w:type="paragraph" w:customStyle="1" w:styleId="224">
    <w:name w:val="Char Char Char Char Char Char Char Char Char Char Char Char Char1"/>
    <w:basedOn w:val="1"/>
    <w:qFormat/>
    <w:uiPriority w:val="0"/>
    <w:rPr>
      <w:szCs w:val="24"/>
    </w:rPr>
  </w:style>
  <w:style w:type="paragraph" w:customStyle="1" w:styleId="225">
    <w:name w:val="Char1 Char Char Char1"/>
    <w:basedOn w:val="1"/>
    <w:semiHidden/>
    <w:qFormat/>
    <w:uiPriority w:val="0"/>
    <w:pPr>
      <w:snapToGrid w:val="0"/>
      <w:spacing w:line="440" w:lineRule="atLeast"/>
    </w:pPr>
    <w:rPr>
      <w:rFonts w:ascii="宋体"/>
      <w:sz w:val="24"/>
      <w:szCs w:val="24"/>
    </w:rPr>
  </w:style>
  <w:style w:type="paragraph" w:customStyle="1" w:styleId="226">
    <w:name w:val="TOC 标题11"/>
    <w:next w:val="1"/>
    <w:autoRedefine/>
    <w:unhideWhenUsed/>
    <w:qFormat/>
    <w:uiPriority w:val="39"/>
    <w:pPr>
      <w:keepNext/>
      <w:keepLines/>
      <w:widowControl w:val="0"/>
      <w:spacing w:before="340" w:after="330" w:line="578" w:lineRule="auto"/>
      <w:jc w:val="both"/>
    </w:pPr>
    <w:rPr>
      <w:rFonts w:ascii="Times New Roman" w:hAnsi="Times New Roman" w:eastAsia="宋体" w:cs="Times New Roman"/>
      <w:b/>
      <w:bCs/>
      <w:kern w:val="44"/>
      <w:sz w:val="44"/>
      <w:szCs w:val="44"/>
      <w:lang w:val="en-US" w:eastAsia="zh-CN" w:bidi="ar-SA"/>
    </w:rPr>
  </w:style>
  <w:style w:type="paragraph" w:customStyle="1" w:styleId="227">
    <w:name w:val="WPSOffice手动目录 1"/>
    <w:autoRedefine/>
    <w:qFormat/>
    <w:uiPriority w:val="0"/>
    <w:rPr>
      <w:rFonts w:asciiTheme="minorHAnsi" w:hAnsiTheme="minorHAnsi" w:eastAsiaTheme="minorEastAsia" w:cstheme="minorBidi"/>
      <w:lang w:val="en-US" w:eastAsia="zh-CN" w:bidi="ar-SA"/>
    </w:rPr>
  </w:style>
  <w:style w:type="character" w:customStyle="1" w:styleId="228">
    <w:name w:val="正文文本首行缩进 2 字符"/>
    <w:basedOn w:val="82"/>
    <w:link w:val="48"/>
    <w:semiHidden/>
    <w:qFormat/>
    <w:uiPriority w:val="99"/>
    <w:rPr>
      <w:kern w:val="2"/>
      <w:sz w:val="21"/>
      <w:szCs w:val="24"/>
    </w:rPr>
  </w:style>
  <w:style w:type="paragraph" w:customStyle="1" w:styleId="229">
    <w:name w:val="表格文字"/>
    <w:basedOn w:val="14"/>
    <w:next w:val="1"/>
    <w:qFormat/>
    <w:uiPriority w:val="0"/>
    <w:pPr>
      <w:widowControl/>
      <w:topLinePunct/>
      <w:spacing w:line="312" w:lineRule="atLeast"/>
      <w:ind w:firstLine="0"/>
      <w:jc w:val="center"/>
      <w:textAlignment w:val="baseline"/>
    </w:pPr>
    <w:rPr>
      <w:rFonts w:asciiTheme="minorHAnsi" w:hAnsiTheme="minorHAnsi" w:eastAsiaTheme="minorEastAsia" w:cstheme="minorBidi"/>
      <w:kern w:val="0"/>
      <w:szCs w:val="20"/>
    </w:rPr>
  </w:style>
  <w:style w:type="paragraph" w:customStyle="1" w:styleId="230">
    <w:name w:val="*正文_0"/>
    <w:basedOn w:val="1"/>
    <w:next w:val="1"/>
    <w:qFormat/>
    <w:uiPriority w:val="0"/>
    <w:pPr>
      <w:widowControl/>
      <w:ind w:firstLine="482"/>
    </w:pPr>
    <w:rPr>
      <w:rFonts w:ascii="微软雅黑" w:hAnsi="微软雅黑" w:eastAsia="微软雅黑"/>
      <w:kern w:val="0"/>
    </w:rPr>
  </w:style>
  <w:style w:type="paragraph" w:styleId="231">
    <w:name w:val="No Spacing"/>
    <w:qFormat/>
    <w:uiPriority w:val="1"/>
    <w:pPr>
      <w:widowControl w:val="0"/>
    </w:pPr>
    <w:rPr>
      <w:rFonts w:ascii="等线" w:hAnsi="等线" w:eastAsia="华文宋体" w:cs="Times New Roman"/>
      <w:kern w:val="2"/>
      <w:sz w:val="24"/>
      <w:szCs w:val="22"/>
      <w:lang w:val="en-US" w:eastAsia="zh-CN" w:bidi="ar-SA"/>
    </w:rPr>
  </w:style>
  <w:style w:type="character" w:customStyle="1" w:styleId="232">
    <w:name w:val="NormalCharacter"/>
    <w:qFormat/>
    <w:uiPriority w:val="0"/>
  </w:style>
  <w:style w:type="paragraph" w:customStyle="1" w:styleId="233">
    <w:name w:val="四级标题"/>
    <w:basedOn w:val="28"/>
    <w:qFormat/>
    <w:uiPriority w:val="0"/>
    <w:pPr>
      <w:spacing w:line="360" w:lineRule="auto"/>
    </w:pPr>
    <w:rPr>
      <w:rFonts w:eastAsia="黑体"/>
      <w:snapToGrid w:val="0"/>
      <w:sz w:val="24"/>
      <w:lang w:eastAsia="en-US"/>
    </w:rPr>
  </w:style>
  <w:style w:type="table" w:customStyle="1" w:styleId="234">
    <w:name w:val="Table Normal"/>
    <w:semiHidden/>
    <w:unhideWhenUsed/>
    <w:qFormat/>
    <w:uiPriority w:val="0"/>
    <w:tblPr>
      <w:tblCellMar>
        <w:top w:w="0" w:type="dxa"/>
        <w:left w:w="0" w:type="dxa"/>
        <w:bottom w:w="0" w:type="dxa"/>
        <w:right w:w="0" w:type="dxa"/>
      </w:tblCellMar>
    </w:tblPr>
  </w:style>
  <w:style w:type="paragraph" w:customStyle="1" w:styleId="235">
    <w:name w:val="正文 New"/>
    <w:qFormat/>
    <w:uiPriority w:val="0"/>
    <w:pPr>
      <w:widowControl w:val="0"/>
      <w:snapToGrid w:val="0"/>
      <w:spacing w:before="60" w:after="60"/>
      <w:jc w:val="both"/>
    </w:pPr>
    <w:rPr>
      <w:rFonts w:ascii="Times New Roman" w:hAnsi="Times New Roman" w:eastAsia="宋体" w:cs="Times New Roman"/>
      <w:kern w:val="2"/>
      <w:sz w:val="24"/>
      <w:lang w:val="en-US" w:eastAsia="zh-CN" w:bidi="ar-SA"/>
    </w:rPr>
  </w:style>
  <w:style w:type="paragraph" w:customStyle="1" w:styleId="236">
    <w:name w:val="Plain Text1"/>
    <w:basedOn w:val="1"/>
    <w:qFormat/>
    <w:uiPriority w:val="0"/>
    <w:pPr>
      <w:adjustRightInd w:val="0"/>
      <w:spacing w:after="120" w:line="400" w:lineRule="atLeast"/>
      <w:ind w:firstLine="567"/>
    </w:pPr>
    <w:rPr>
      <w:rFonts w:ascii="宋体"/>
      <w:kern w:val="0"/>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15605-1265-4618-B2A2-632B0CBA8B74}">
  <ds:schemaRefs/>
</ds:datastoreItem>
</file>

<file path=docProps/app.xml><?xml version="1.0" encoding="utf-8"?>
<Properties xmlns="http://schemas.openxmlformats.org/officeDocument/2006/extended-properties" xmlns:vt="http://schemas.openxmlformats.org/officeDocument/2006/docPropsVTypes">
  <Template>Normal</Template>
  <Pages>34</Pages>
  <Words>7057</Words>
  <Characters>7527</Characters>
  <Lines>111</Lines>
  <Paragraphs>31</Paragraphs>
  <TotalTime>4</TotalTime>
  <ScaleCrop>false</ScaleCrop>
  <LinksUpToDate>false</LinksUpToDate>
  <CharactersWithSpaces>8372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2023-05-04T09:10:00Z</dcterms:created>
  <dc:creator>Administrator</dc:creator>
  <cp:lastModifiedBy>GsGyt</cp:lastModifiedBy>
  <cp:lastPrinted>2025-04-24T02:27:00Z</cp:lastPrinted>
  <dcterms:modified xsi:type="dcterms:W3CDTF">2026-03-05T01:17:33Z</dcterms:modified>
  <dc:title>一、标书制作要求：</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eyJoZGlkIjoiZTU2MWU0ZGY4ZWMwNTY1NTViMDg2NmZiMzk1NzVjODkiLCJ1c2VySWQiOiI3NjQ1MzQ5NTkifQ==</vt:lpwstr>
  </property>
  <property fmtid="{D5CDD505-2E9C-101B-9397-08002B2CF9AE}" pid="4" name="ICV">
    <vt:lpwstr>EBCC211060C54FE1B8FD3828A8AD8E66_12</vt:lpwstr>
  </property>
</Properties>
</file>