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4816EC26">
      <w:pPr>
        <w:spacing w:line="460" w:lineRule="exact"/>
        <w:jc w:val="left"/>
        <w:rPr>
          <w:rFonts w:ascii="仿宋" w:hAnsi="仿宋" w:eastAsia="仿宋"/>
          <w:sz w:val="28"/>
          <w:szCs w:val="28"/>
        </w:rPr>
      </w:pPr>
      <w:r>
        <w:rPr>
          <w:rFonts w:hint="eastAsia" w:ascii="仿宋" w:hAnsi="仿宋" w:eastAsia="仿宋"/>
          <w:sz w:val="28"/>
          <w:szCs w:val="28"/>
        </w:rPr>
        <w:t>各相关单位：</w:t>
      </w:r>
    </w:p>
    <w:p w14:paraId="4CA4D518">
      <w:pPr>
        <w:spacing w:line="460" w:lineRule="exact"/>
        <w:ind w:firstLine="560" w:firstLineChars="200"/>
        <w:rPr>
          <w:rFonts w:ascii="仿宋" w:hAnsi="仿宋" w:eastAsia="仿宋"/>
          <w:b/>
          <w:sz w:val="28"/>
          <w:szCs w:val="28"/>
        </w:rPr>
      </w:pPr>
      <w:r>
        <w:rPr>
          <w:rFonts w:hint="eastAsia" w:ascii="仿宋" w:hAnsi="仿宋" w:eastAsia="仿宋"/>
          <w:sz w:val="28"/>
          <w:szCs w:val="28"/>
        </w:rPr>
        <w:t>万基控股集团有限公司招标办拟对</w:t>
      </w:r>
      <w:r>
        <w:rPr>
          <w:rFonts w:hint="eastAsia" w:ascii="仿宋" w:hAnsi="仿宋" w:eastAsia="仿宋"/>
          <w:sz w:val="28"/>
          <w:szCs w:val="28"/>
          <w:lang w:val="en-US" w:eastAsia="zh-CN"/>
        </w:rPr>
        <w:t>检修</w:t>
      </w:r>
      <w:r>
        <w:rPr>
          <w:rFonts w:hint="eastAsia" w:ascii="仿宋" w:hAnsi="仿宋" w:eastAsia="仿宋"/>
          <w:sz w:val="28"/>
          <w:szCs w:val="28"/>
        </w:rPr>
        <w:t>公司</w:t>
      </w:r>
      <w:r>
        <w:rPr>
          <w:rFonts w:hint="eastAsia" w:ascii="仿宋" w:hAnsi="仿宋" w:eastAsia="仿宋"/>
          <w:b/>
          <w:color w:val="FF0000"/>
          <w:sz w:val="28"/>
          <w:szCs w:val="28"/>
        </w:rPr>
        <w:t>2026年度防雷检测服务项目</w:t>
      </w:r>
      <w:r>
        <w:rPr>
          <w:rFonts w:hint="eastAsia" w:ascii="仿宋" w:hAnsi="仿宋" w:eastAsia="仿宋"/>
          <w:sz w:val="28"/>
          <w:szCs w:val="28"/>
        </w:rPr>
        <w:t>进行招标【招标编号：WJWZ-(2026)03020】，有意参标单位请在202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w:t>
      </w:r>
      <w:r>
        <w:rPr>
          <w:rFonts w:ascii="仿宋" w:hAnsi="仿宋" w:eastAsia="仿宋"/>
          <w:sz w:val="28"/>
          <w:szCs w:val="28"/>
        </w:rPr>
        <w:t>17</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w:t>
      </w:r>
      <w:r>
        <w:rPr>
          <w:rFonts w:ascii="仿宋" w:hAnsi="仿宋" w:eastAsia="仿宋"/>
          <w:b/>
          <w:color w:val="FF0000"/>
          <w:sz w:val="28"/>
          <w:szCs w:val="28"/>
        </w:rPr>
        <w:t>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rPr>
        <w:t>3</w:t>
      </w:r>
      <w:r>
        <w:rPr>
          <w:rFonts w:hint="eastAsia" w:ascii="仿宋" w:hAnsi="仿宋" w:eastAsia="仿宋"/>
          <w:b/>
          <w:color w:val="FF0000"/>
          <w:sz w:val="28"/>
          <w:szCs w:val="28"/>
          <w:lang w:val="en-US" w:eastAsia="zh-CN"/>
        </w:rPr>
        <w:t>0</w:t>
      </w:r>
      <w:r>
        <w:rPr>
          <w:rFonts w:ascii="仿宋" w:hAnsi="仿宋" w:eastAsia="仿宋"/>
          <w:b/>
          <w:color w:val="FF0000"/>
          <w:sz w:val="28"/>
          <w:szCs w:val="28"/>
        </w:rPr>
        <w:t>日</w:t>
      </w:r>
      <w:r>
        <w:rPr>
          <w:rFonts w:hint="eastAsia" w:ascii="仿宋" w:hAnsi="仿宋" w:eastAsia="仿宋"/>
          <w:b/>
          <w:color w:val="FF0000"/>
          <w:sz w:val="28"/>
          <w:szCs w:val="28"/>
          <w:lang w:val="en-US" w:eastAsia="zh-CN"/>
        </w:rPr>
        <w:t>下</w:t>
      </w:r>
      <w:r>
        <w:rPr>
          <w:rFonts w:hint="eastAsia" w:ascii="仿宋" w:hAnsi="仿宋" w:eastAsia="仿宋"/>
          <w:b/>
          <w:color w:val="FF0000"/>
          <w:sz w:val="28"/>
          <w:szCs w:val="28"/>
        </w:rPr>
        <w:t>午1</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00</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w:t>
      </w:r>
      <w:r>
        <w:rPr>
          <w:rFonts w:ascii="仿宋" w:hAnsi="仿宋" w:eastAsia="仿宋" w:cs="仿宋_GB2312"/>
          <w:b/>
          <w:color w:val="FF0000"/>
          <w:sz w:val="28"/>
          <w:szCs w:val="28"/>
        </w:rPr>
        <w:t>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3</w:t>
      </w:r>
      <w:r>
        <w:rPr>
          <w:rFonts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29</w:t>
      </w:r>
      <w:r>
        <w:rPr>
          <w:rFonts w:ascii="仿宋" w:hAnsi="仿宋" w:eastAsia="仿宋" w:cs="仿宋_GB2312"/>
          <w:b/>
          <w:color w:val="FF0000"/>
          <w:sz w:val="28"/>
          <w:szCs w:val="28"/>
        </w:rPr>
        <w:t>日</w:t>
      </w:r>
      <w:r>
        <w:rPr>
          <w:rFonts w:hint="eastAsia" w:ascii="仿宋" w:hAnsi="仿宋" w:eastAsia="仿宋" w:cs="仿宋_GB2312"/>
          <w:b/>
          <w:color w:val="FF0000"/>
          <w:sz w:val="28"/>
          <w:szCs w:val="28"/>
        </w:rPr>
        <w:t>下午1</w:t>
      </w:r>
      <w:r>
        <w:rPr>
          <w:rFonts w:ascii="仿宋" w:hAnsi="仿宋" w:eastAsia="仿宋" w:cs="仿宋_GB2312"/>
          <w:b/>
          <w:color w:val="FF0000"/>
          <w:sz w:val="28"/>
          <w:szCs w:val="28"/>
        </w:rPr>
        <w:t>7</w:t>
      </w:r>
      <w:r>
        <w:rPr>
          <w:rFonts w:hint="eastAsia" w:ascii="仿宋" w:hAnsi="仿宋" w:eastAsia="仿宋" w:cs="仿宋_GB2312"/>
          <w:b/>
          <w:color w:val="FF0000"/>
          <w:sz w:val="28"/>
          <w:szCs w:val="28"/>
        </w:rPr>
        <w:t>:00时</w:t>
      </w:r>
    </w:p>
    <w:p w14:paraId="1BF68E7B">
      <w:pPr>
        <w:spacing w:line="460" w:lineRule="exact"/>
        <w:ind w:firstLine="560" w:firstLineChars="200"/>
        <w:rPr>
          <w:rFonts w:ascii="仿宋" w:hAnsi="仿宋" w:eastAsia="仿宋"/>
          <w:sz w:val="28"/>
          <w:szCs w:val="28"/>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rPr>
        <w:t>技术：王向鹏</w:t>
      </w:r>
      <w:r>
        <w:rPr>
          <w:rFonts w:hint="eastAsia" w:ascii="仿宋" w:hAnsi="仿宋" w:eastAsia="仿宋"/>
          <w:sz w:val="28"/>
          <w:szCs w:val="28"/>
          <w:lang w:val="en-US" w:eastAsia="zh-CN"/>
        </w:rPr>
        <w:t xml:space="preserve"> </w:t>
      </w:r>
      <w:r>
        <w:rPr>
          <w:rFonts w:hint="eastAsia" w:ascii="仿宋" w:hAnsi="仿宋" w:eastAsia="仿宋"/>
          <w:sz w:val="28"/>
          <w:szCs w:val="28"/>
        </w:rPr>
        <w:t>138</w:t>
      </w:r>
      <w:r>
        <w:rPr>
          <w:rFonts w:hint="eastAsia" w:ascii="仿宋" w:hAnsi="仿宋" w:eastAsia="仿宋"/>
          <w:sz w:val="28"/>
          <w:szCs w:val="28"/>
          <w:lang w:val="en-US" w:eastAsia="zh-CN"/>
        </w:rPr>
        <w:t xml:space="preserve"> </w:t>
      </w:r>
      <w:r>
        <w:rPr>
          <w:rFonts w:hint="eastAsia" w:ascii="仿宋" w:hAnsi="仿宋" w:eastAsia="仿宋"/>
          <w:sz w:val="28"/>
          <w:szCs w:val="28"/>
        </w:rPr>
        <w:t>3882</w:t>
      </w:r>
      <w:r>
        <w:rPr>
          <w:rFonts w:hint="eastAsia" w:ascii="仿宋" w:hAnsi="仿宋" w:eastAsia="仿宋"/>
          <w:sz w:val="28"/>
          <w:szCs w:val="28"/>
          <w:lang w:val="en-US" w:eastAsia="zh-CN"/>
        </w:rPr>
        <w:t xml:space="preserve"> </w:t>
      </w:r>
      <w:r>
        <w:rPr>
          <w:rFonts w:hint="eastAsia" w:ascii="仿宋" w:hAnsi="仿宋" w:eastAsia="仿宋"/>
          <w:sz w:val="28"/>
          <w:szCs w:val="28"/>
        </w:rPr>
        <w:t>4838</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ascii="仿宋" w:hAnsi="仿宋" w:eastAsia="仿宋"/>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2</w:t>
      </w:r>
      <w:r>
        <w:rPr>
          <w:rFonts w:hint="eastAsia" w:ascii="仿宋" w:hAnsi="仿宋" w:eastAsia="仿宋"/>
          <w:sz w:val="28"/>
          <w:szCs w:val="28"/>
        </w:rPr>
        <w:t>份，每套投标文件须清楚地标明“正本”或“副本”。若正本和副本不符，以正本为准。</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，便于唱标；详细分项报价做入标书商务卷。</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6CFB8A35">
      <w:pPr>
        <w:spacing w:line="460" w:lineRule="exact"/>
        <w:ind w:firstLine="560" w:firstLineChars="200"/>
        <w:rPr>
          <w:rFonts w:ascii="仿宋" w:hAnsi="仿宋" w:eastAsia="仿宋" w:cs="仿宋"/>
          <w:bCs/>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bCs/>
          <w:sz w:val="28"/>
          <w:szCs w:val="28"/>
        </w:rPr>
        <w:t>投标人必须是在中华人民共和国境内注册、具有独立法人资格；</w:t>
      </w:r>
      <w:r>
        <w:rPr>
          <w:rFonts w:ascii="仿宋" w:hAnsi="仿宋" w:eastAsia="仿宋" w:cs="仿宋"/>
          <w:bCs/>
          <w:sz w:val="28"/>
          <w:szCs w:val="28"/>
        </w:rPr>
        <w:t xml:space="preserve"> </w:t>
      </w:r>
    </w:p>
    <w:p w14:paraId="6C05B8FA">
      <w:pPr>
        <w:numPr>
          <w:ilvl w:val="0"/>
          <w:numId w:val="0"/>
        </w:numPr>
        <w:ind w:firstLine="560" w:firstLineChars="200"/>
        <w:rPr>
          <w:rFonts w:hint="eastAsia" w:ascii="仿宋" w:hAnsi="仿宋" w:eastAsia="仿宋" w:cs="仿宋"/>
          <w:bCs/>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）投</w:t>
      </w:r>
      <w:r>
        <w:rPr>
          <w:rFonts w:hint="eastAsia" w:ascii="仿宋" w:hAnsi="仿宋" w:eastAsia="仿宋" w:cs="仿宋"/>
          <w:bCs/>
          <w:sz w:val="28"/>
          <w:szCs w:val="28"/>
        </w:rPr>
        <w:t>标单位</w:t>
      </w:r>
      <w:r>
        <w:rPr>
          <w:rFonts w:hint="eastAsia" w:ascii="仿宋" w:hAnsi="仿宋" w:eastAsia="仿宋" w:cs="仿宋"/>
          <w:bCs/>
          <w:sz w:val="28"/>
          <w:szCs w:val="28"/>
          <w:lang w:val="en-US" w:eastAsia="zh-CN"/>
        </w:rPr>
        <w:t>必须持有省级（或以上）气象主管部门颁发的《雷电防护装置检测资质证》，资质等级甲级，且在有效期内：</w:t>
      </w:r>
      <w:bookmarkStart w:id="1" w:name="_GoBack"/>
      <w:bookmarkEnd w:id="1"/>
    </w:p>
    <w:p w14:paraId="08F214F6">
      <w:pPr>
        <w:widowControl/>
        <w:spacing w:line="500" w:lineRule="exact"/>
        <w:ind w:firstLine="560" w:firstLineChars="200"/>
        <w:rPr>
          <w:rFonts w:ascii="仿宋" w:hAnsi="仿宋" w:eastAsia="仿宋" w:cs="仿宋"/>
          <w:bCs/>
          <w:sz w:val="28"/>
          <w:szCs w:val="28"/>
        </w:rPr>
      </w:pPr>
      <w:r>
        <w:rPr>
          <w:rFonts w:ascii="仿宋" w:hAnsi="仿宋" w:eastAsia="仿宋" w:cs="仿宋"/>
          <w:bCs/>
          <w:sz w:val="28"/>
          <w:szCs w:val="28"/>
        </w:rPr>
        <w:t>3</w:t>
      </w:r>
      <w:r>
        <w:rPr>
          <w:rFonts w:hint="eastAsia" w:ascii="仿宋" w:hAnsi="仿宋" w:eastAsia="仿宋" w:cs="仿宋"/>
          <w:bCs/>
          <w:sz w:val="28"/>
          <w:szCs w:val="28"/>
        </w:rPr>
        <w:t>）投标方在专业技术、设备设施、人员组织、业绩经验等方面具有设计、制造、安装、质量控制、经营管理等相应的资格和能力；</w:t>
      </w:r>
      <w:r>
        <w:rPr>
          <w:rFonts w:ascii="仿宋" w:hAnsi="仿宋" w:eastAsia="仿宋" w:cs="仿宋"/>
          <w:bCs/>
          <w:sz w:val="28"/>
          <w:szCs w:val="28"/>
        </w:rPr>
        <w:t>有良好的银行资信和商业信誉，没有处于被责令停业，财产被接管、冻结，破产状态；</w:t>
      </w:r>
      <w:r>
        <w:rPr>
          <w:rFonts w:hint="eastAsia" w:ascii="仿宋" w:hAnsi="仿宋" w:eastAsia="仿宋" w:cs="仿宋"/>
          <w:bCs/>
          <w:sz w:val="28"/>
          <w:szCs w:val="28"/>
        </w:rPr>
        <w:t>投标人在人员、技术、设备、资金方面具有完成本项目合同的能力。如果国家有强制性要求的资质文件，参标单位必须提供。</w:t>
      </w:r>
    </w:p>
    <w:p w14:paraId="59432B7B">
      <w:pPr>
        <w:widowControl/>
        <w:spacing w:line="500" w:lineRule="exact"/>
        <w:ind w:firstLine="551" w:firstLineChars="197"/>
        <w:rPr>
          <w:rFonts w:hint="eastAsia" w:ascii="仿宋" w:hAnsi="仿宋" w:eastAsia="仿宋" w:cs="仿宋"/>
          <w:bCs/>
          <w:sz w:val="28"/>
          <w:szCs w:val="28"/>
        </w:rPr>
      </w:pPr>
      <w:r>
        <w:rPr>
          <w:rFonts w:ascii="仿宋" w:hAnsi="仿宋" w:eastAsia="仿宋" w:cs="仿宋"/>
          <w:bCs/>
          <w:sz w:val="28"/>
          <w:szCs w:val="28"/>
        </w:rPr>
        <w:t>4</w:t>
      </w:r>
      <w:r>
        <w:rPr>
          <w:rFonts w:hint="eastAsia" w:ascii="仿宋" w:hAnsi="仿宋" w:eastAsia="仿宋" w:cs="仿宋"/>
          <w:bCs/>
          <w:sz w:val="28"/>
          <w:szCs w:val="28"/>
        </w:rPr>
        <w:t>）投标方具有完善的质量、环境、职业健康安全保证体系，须具有ISO9001质量、ISO14001环境、ISO45001职业健康安全（或OHSAS18001职业健康安全）管理体系的认证证书（须在有效期内）。</w:t>
      </w:r>
    </w:p>
    <w:p w14:paraId="1FC523F9">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6</w:t>
      </w:r>
      <w:r>
        <w:rPr>
          <w:rFonts w:hint="eastAsia" w:ascii="仿宋" w:hAnsi="仿宋" w:eastAsia="仿宋" w:cs="仿宋"/>
          <w:bCs/>
          <w:sz w:val="28"/>
          <w:szCs w:val="28"/>
        </w:rPr>
        <w:t>）承担的项目中无重大质量问题、无严重违约记录，且未被政府、采购人及上级单位等列入安全生产领域失信生产经营单位名单或其他黑名单；</w:t>
      </w:r>
    </w:p>
    <w:p w14:paraId="01394198">
      <w:pPr>
        <w:spacing w:line="460" w:lineRule="exact"/>
        <w:ind w:firstLine="560" w:firstLineChars="200"/>
        <w:rPr>
          <w:rFonts w:ascii="仿宋" w:hAnsi="仿宋" w:eastAsia="仿宋"/>
          <w:color w:val="00000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0C961DD8">
      <w:pPr>
        <w:spacing w:line="4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）资格预审：未在招标办备案的投标人，需提供企业营业执照（年审过的有效件且必须有标的物经营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、相关资质许可、相关授权资料等、法人授权书、法人及投标人身份证、业绩合同等加盖公章复印件扫描件，打包发送至</w:t>
      </w:r>
      <w:r>
        <w:rPr>
          <w:rFonts w:hint="eastAsia" w:ascii="仿宋" w:hAnsi="仿宋" w:eastAsia="仿宋" w:cs="仿宋"/>
          <w:sz w:val="28"/>
          <w:szCs w:val="28"/>
          <w:lang w:val="en-US" w:eastAsia="zh-CN"/>
        </w:rPr>
        <w:t>277838558</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作资质预审；资质预审截止时间：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ascii="仿宋" w:hAnsi="仿宋" w:eastAsia="仿宋" w:cs="仿宋"/>
          <w:sz w:val="28"/>
          <w:szCs w:val="28"/>
        </w:rPr>
        <w:t>月</w:t>
      </w:r>
      <w:r>
        <w:rPr>
          <w:rFonts w:hint="eastAsia" w:ascii="仿宋" w:hAnsi="仿宋" w:eastAsia="仿宋" w:cs="仿宋"/>
          <w:sz w:val="28"/>
          <w:szCs w:val="28"/>
        </w:rPr>
        <w:t>2</w:t>
      </w:r>
      <w:r>
        <w:rPr>
          <w:rFonts w:hint="eastAsia" w:ascii="仿宋" w:hAnsi="仿宋" w:eastAsia="仿宋" w:cs="仿宋"/>
          <w:sz w:val="28"/>
          <w:szCs w:val="28"/>
          <w:lang w:val="en-US" w:eastAsia="zh-CN"/>
        </w:rPr>
        <w:t>9</w:t>
      </w:r>
      <w:r>
        <w:rPr>
          <w:rFonts w:ascii="仿宋" w:hAnsi="仿宋" w:eastAsia="仿宋" w:cs="仿宋"/>
          <w:sz w:val="28"/>
          <w:szCs w:val="28"/>
        </w:rPr>
        <w:t>日</w:t>
      </w:r>
      <w:r>
        <w:rPr>
          <w:rFonts w:hint="eastAsia" w:ascii="仿宋" w:hAnsi="仿宋" w:eastAsia="仿宋" w:cs="仿宋"/>
          <w:sz w:val="28"/>
          <w:szCs w:val="28"/>
        </w:rPr>
        <w:t>下午</w:t>
      </w:r>
      <w:r>
        <w:rPr>
          <w:rFonts w:ascii="仿宋" w:hAnsi="仿宋" w:eastAsia="仿宋" w:cs="仿宋"/>
          <w:sz w:val="28"/>
          <w:szCs w:val="28"/>
        </w:rPr>
        <w:t>17</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62" w:beforeLines="20" w:after="62" w:afterLines="20" w:line="460" w:lineRule="exact"/>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、投标保证金：各投标人在开标前须向业主单位财务缴纳投标保证金人民币伍仟元（￥</w:t>
      </w:r>
      <w:r>
        <w:rPr>
          <w:rFonts w:ascii="仿宋" w:hAnsi="仿宋" w:eastAsia="仿宋" w:cs="仿宋"/>
          <w:sz w:val="28"/>
          <w:szCs w:val="28"/>
        </w:rPr>
        <w:t>5</w:t>
      </w:r>
      <w:r>
        <w:rPr>
          <w:rFonts w:hint="eastAsia" w:ascii="仿宋" w:hAnsi="仿宋" w:eastAsia="仿宋" w:cs="仿宋"/>
          <w:sz w:val="28"/>
          <w:szCs w:val="28"/>
        </w:rPr>
        <w:t>00</w:t>
      </w:r>
      <w:r>
        <w:rPr>
          <w:rFonts w:ascii="仿宋" w:hAnsi="仿宋" w:eastAsia="仿宋" w:cs="仿宋"/>
          <w:sz w:val="28"/>
          <w:szCs w:val="28"/>
        </w:rPr>
        <w:t>0</w:t>
      </w:r>
      <w:r>
        <w:rPr>
          <w:rFonts w:hint="eastAsia" w:ascii="仿宋" w:hAnsi="仿宋" w:eastAsia="仿宋" w:cs="仿宋"/>
          <w:sz w:val="28"/>
          <w:szCs w:val="28"/>
        </w:rPr>
        <w:t>元）整，（详细要求见招标文件第七部分）；</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、施工范围：详见技术要求（附件7）；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9、为保证项目的进度要求，招标人保留拆包授予合同的权力。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r>
        <w:rPr>
          <w:rFonts w:hint="eastAsia" w:ascii="仿宋" w:hAnsi="仿宋" w:eastAsia="仿宋"/>
          <w:sz w:val="28"/>
          <w:szCs w:val="28"/>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z w:val="28"/>
          <w:szCs w:val="28"/>
        </w:rPr>
      </w:pPr>
      <w:r>
        <w:rPr>
          <w:rFonts w:hint="eastAsia" w:ascii="仿宋" w:hAnsi="仿宋" w:eastAsia="仿宋"/>
          <w:sz w:val="28"/>
          <w:szCs w:val="28"/>
        </w:rPr>
        <w:t>3）投标人法定代表人授权书（法定代表人必须签字签章），详见附件</w:t>
      </w:r>
      <w:r>
        <w:rPr>
          <w:rFonts w:ascii="仿宋" w:hAnsi="仿宋" w:eastAsia="仿宋"/>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近三年财务状况、信用评价及其它文件和资料。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w:t>
      </w:r>
      <w:r>
        <w:rPr>
          <w:rFonts w:ascii="仿宋" w:hAnsi="仿宋" w:eastAsia="仿宋"/>
          <w:sz w:val="28"/>
          <w:szCs w:val="28"/>
        </w:rPr>
        <w:t>9</w:t>
      </w:r>
      <w:r>
        <w:rPr>
          <w:rFonts w:hint="eastAsia" w:ascii="仿宋" w:hAnsi="仿宋" w:eastAsia="仿宋"/>
          <w:sz w:val="28"/>
          <w:szCs w:val="28"/>
        </w:rPr>
        <w:t>0天。</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三</w:t>
      </w:r>
      <w:r>
        <w:rPr>
          <w:rFonts w:hint="eastAsia" w:ascii="仿宋" w:hAnsi="仿宋" w:eastAsia="仿宋"/>
          <w:sz w:val="28"/>
          <w:szCs w:val="28"/>
        </w:rPr>
        <w:t>份，正本一份，副本</w:t>
      </w:r>
      <w:r>
        <w:rPr>
          <w:rFonts w:hint="eastAsia" w:ascii="仿宋" w:hAnsi="仿宋" w:eastAsia="仿宋"/>
          <w:sz w:val="28"/>
          <w:szCs w:val="28"/>
          <w:lang w:val="en-US" w:eastAsia="zh-CN"/>
        </w:rPr>
        <w:t>二</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），对照技术规范列出各种分项价格表（列入商务卷）。</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rPr>
        <w:t>3</w:t>
      </w:r>
      <w:r>
        <w:rPr>
          <w:rFonts w:hint="eastAsia" w:ascii="仿宋" w:hAnsi="仿宋" w:eastAsia="仿宋"/>
          <w:b/>
          <w:color w:val="FF0000"/>
          <w:sz w:val="28"/>
          <w:szCs w:val="28"/>
          <w:lang w:val="en-US" w:eastAsia="zh-CN"/>
        </w:rPr>
        <w:t>0</w:t>
      </w:r>
      <w:r>
        <w:rPr>
          <w:rFonts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rPr>
        <w:t>3</w:t>
      </w:r>
      <w:r>
        <w:rPr>
          <w:rFonts w:hint="eastAsia" w:ascii="仿宋" w:hAnsi="仿宋" w:eastAsia="仿宋"/>
          <w:b/>
          <w:color w:val="FF0000"/>
          <w:sz w:val="28"/>
          <w:szCs w:val="28"/>
          <w:lang w:val="en-US" w:eastAsia="zh-CN"/>
        </w:rPr>
        <w:t>0</w:t>
      </w:r>
      <w:r>
        <w:rPr>
          <w:rFonts w:ascii="仿宋" w:hAnsi="仿宋" w:eastAsia="仿宋"/>
          <w:b/>
          <w:color w:val="FF0000"/>
          <w:sz w:val="28"/>
          <w:szCs w:val="28"/>
        </w:rPr>
        <w:t>日</w:t>
      </w:r>
      <w:r>
        <w:rPr>
          <w:rFonts w:hint="eastAsia" w:ascii="仿宋" w:hAnsi="仿宋" w:eastAsia="仿宋"/>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z w:val="28"/>
          <w:szCs w:val="28"/>
        </w:rPr>
      </w:pPr>
      <w:r>
        <w:rPr>
          <w:rFonts w:hint="eastAsia" w:ascii="仿宋" w:hAnsi="仿宋" w:eastAsia="仿宋"/>
          <w:sz w:val="28"/>
          <w:szCs w:val="28"/>
        </w:rPr>
        <w:t>5.1.2  投标人的投标书、资格证明未提供或不符合招标文件的要求。</w:t>
      </w:r>
    </w:p>
    <w:p w14:paraId="2E0C8A20">
      <w:pPr>
        <w:spacing w:line="460" w:lineRule="exact"/>
        <w:ind w:firstLine="560" w:firstLineChars="200"/>
        <w:rPr>
          <w:rFonts w:ascii="仿宋" w:hAnsi="仿宋" w:eastAsia="仿宋"/>
          <w:sz w:val="28"/>
          <w:szCs w:val="28"/>
        </w:rPr>
      </w:pPr>
      <w:r>
        <w:rPr>
          <w:rFonts w:hint="eastAsia" w:ascii="仿宋" w:hAnsi="仿宋" w:eastAsia="仿宋"/>
          <w:sz w:val="28"/>
          <w:szCs w:val="28"/>
        </w:rPr>
        <w:t>5.1.3  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5.2.3  投标文件技术规格中的响应与事实情况不符或虚假投标的。</w:t>
      </w:r>
    </w:p>
    <w:p w14:paraId="245B357A">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527259EC">
      <w:pPr>
        <w:spacing w:before="234" w:beforeLines="75" w:after="234" w:afterLines="75" w:line="160" w:lineRule="exact"/>
        <w:ind w:firstLine="840" w:firstLineChars="300"/>
        <w:rPr>
          <w:rFonts w:hint="eastAsia" w:ascii="仿宋" w:hAnsi="仿宋" w:eastAsia="仿宋"/>
          <w:sz w:val="28"/>
          <w:szCs w:val="28"/>
        </w:rPr>
      </w:pPr>
    </w:p>
    <w:p w14:paraId="4C7E80A6">
      <w:pPr>
        <w:spacing w:before="234" w:beforeLines="75" w:after="234" w:afterLines="75" w:line="1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234" w:beforeLines="75" w:after="234" w:afterLines="75" w:line="32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6D628AA0">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786D107C">
      <w:pPr>
        <w:spacing w:line="160" w:lineRule="exact"/>
        <w:ind w:firstLine="560" w:firstLineChars="200"/>
        <w:rPr>
          <w:rFonts w:ascii="仿宋" w:hAnsi="仿宋" w:eastAsia="仿宋"/>
          <w:sz w:val="28"/>
          <w:szCs w:val="28"/>
        </w:rPr>
      </w:pPr>
    </w:p>
    <w:tbl>
      <w:tblPr>
        <w:tblStyle w:val="4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992"/>
        <w:gridCol w:w="4678"/>
      </w:tblGrid>
      <w:tr w14:paraId="155B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0B1E68B3">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28A3540D">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1CDC32F8">
            <w:pPr>
              <w:jc w:val="center"/>
              <w:rPr>
                <w:rFonts w:ascii="仿宋" w:hAnsi="仿宋" w:eastAsia="仿宋" w:cs="仿宋"/>
                <w:sz w:val="22"/>
              </w:rPr>
            </w:pPr>
            <w:r>
              <w:rPr>
                <w:rFonts w:hint="eastAsia" w:ascii="仿宋" w:hAnsi="仿宋" w:eastAsia="仿宋" w:cs="仿宋"/>
                <w:sz w:val="22"/>
              </w:rPr>
              <w:t>考核内容</w:t>
            </w:r>
          </w:p>
        </w:tc>
        <w:tc>
          <w:tcPr>
            <w:tcW w:w="992" w:type="dxa"/>
            <w:vAlign w:val="center"/>
          </w:tcPr>
          <w:p w14:paraId="469C0911">
            <w:pPr>
              <w:jc w:val="center"/>
              <w:rPr>
                <w:rFonts w:ascii="仿宋" w:hAnsi="仿宋" w:eastAsia="仿宋" w:cs="仿宋"/>
                <w:sz w:val="22"/>
              </w:rPr>
            </w:pPr>
            <w:r>
              <w:rPr>
                <w:rFonts w:hint="eastAsia" w:ascii="仿宋" w:hAnsi="仿宋" w:eastAsia="仿宋" w:cs="仿宋"/>
                <w:sz w:val="22"/>
              </w:rPr>
              <w:t>标准分</w:t>
            </w:r>
          </w:p>
        </w:tc>
        <w:tc>
          <w:tcPr>
            <w:tcW w:w="4678" w:type="dxa"/>
            <w:vAlign w:val="center"/>
          </w:tcPr>
          <w:p w14:paraId="6B14BB1F">
            <w:pPr>
              <w:jc w:val="center"/>
              <w:rPr>
                <w:rFonts w:ascii="仿宋" w:hAnsi="仿宋" w:eastAsia="仿宋" w:cs="仿宋"/>
                <w:sz w:val="22"/>
              </w:rPr>
            </w:pPr>
            <w:r>
              <w:rPr>
                <w:rFonts w:hint="eastAsia" w:ascii="仿宋" w:hAnsi="仿宋" w:eastAsia="仿宋" w:cs="仿宋"/>
                <w:sz w:val="22"/>
              </w:rPr>
              <w:t>评分标准说明</w:t>
            </w:r>
          </w:p>
        </w:tc>
      </w:tr>
      <w:tr w14:paraId="6A3F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746FB594">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7C95EE24">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1</w:t>
            </w:r>
            <w:r>
              <w:rPr>
                <w:rFonts w:hint="eastAsia" w:ascii="仿宋" w:hAnsi="仿宋" w:eastAsia="仿宋" w:cs="仿宋"/>
                <w:sz w:val="18"/>
                <w:szCs w:val="18"/>
              </w:rPr>
              <w:t>分）</w:t>
            </w:r>
          </w:p>
        </w:tc>
        <w:tc>
          <w:tcPr>
            <w:tcW w:w="1134" w:type="dxa"/>
            <w:vAlign w:val="center"/>
          </w:tcPr>
          <w:p w14:paraId="1EDDD331">
            <w:pPr>
              <w:spacing w:line="240" w:lineRule="exact"/>
              <w:jc w:val="center"/>
              <w:rPr>
                <w:rFonts w:ascii="仿宋" w:hAnsi="仿宋" w:eastAsia="仿宋" w:cs="仿宋"/>
                <w:sz w:val="18"/>
                <w:szCs w:val="18"/>
              </w:rPr>
            </w:pPr>
            <w:r>
              <w:rPr>
                <w:rFonts w:hint="eastAsia" w:ascii="仿宋" w:hAnsi="仿宋" w:eastAsia="仿宋" w:cs="仿宋"/>
                <w:sz w:val="18"/>
                <w:szCs w:val="18"/>
              </w:rPr>
              <w:t>完整性及响应性</w:t>
            </w:r>
          </w:p>
        </w:tc>
        <w:tc>
          <w:tcPr>
            <w:tcW w:w="992" w:type="dxa"/>
            <w:vAlign w:val="center"/>
          </w:tcPr>
          <w:p w14:paraId="3EFBB8DF">
            <w:pPr>
              <w:spacing w:line="240" w:lineRule="exact"/>
              <w:jc w:val="center"/>
              <w:rPr>
                <w:rFonts w:ascii="仿宋" w:hAnsi="仿宋" w:eastAsia="仿宋" w:cs="仿宋"/>
                <w:sz w:val="18"/>
                <w:szCs w:val="18"/>
              </w:rPr>
            </w:pPr>
            <w:r>
              <w:rPr>
                <w:rFonts w:ascii="仿宋" w:hAnsi="仿宋" w:eastAsia="仿宋" w:cs="仿宋"/>
                <w:sz w:val="18"/>
                <w:szCs w:val="18"/>
              </w:rPr>
              <w:t>1</w:t>
            </w:r>
          </w:p>
        </w:tc>
        <w:tc>
          <w:tcPr>
            <w:tcW w:w="4678" w:type="dxa"/>
            <w:vAlign w:val="center"/>
          </w:tcPr>
          <w:p w14:paraId="59F01415">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w:t>
            </w:r>
            <w:r>
              <w:rPr>
                <w:rFonts w:ascii="仿宋" w:hAnsi="仿宋" w:eastAsia="仿宋" w:cs="仿宋"/>
                <w:sz w:val="18"/>
                <w:szCs w:val="18"/>
              </w:rPr>
              <w:t>0</w:t>
            </w:r>
            <w:r>
              <w:rPr>
                <w:rFonts w:hint="eastAsia" w:ascii="仿宋" w:hAnsi="仿宋" w:eastAsia="仿宋" w:cs="仿宋"/>
                <w:sz w:val="18"/>
                <w:szCs w:val="18"/>
              </w:rPr>
              <w:t>分。</w:t>
            </w:r>
          </w:p>
        </w:tc>
      </w:tr>
      <w:tr w14:paraId="61B9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1B1FC0D5">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2C357423">
            <w:pPr>
              <w:spacing w:line="240" w:lineRule="exact"/>
              <w:jc w:val="center"/>
              <w:rPr>
                <w:rFonts w:ascii="仿宋" w:hAnsi="仿宋" w:eastAsia="仿宋" w:cs="仿宋"/>
                <w:sz w:val="18"/>
                <w:szCs w:val="18"/>
              </w:rPr>
            </w:pPr>
            <w:r>
              <w:rPr>
                <w:rFonts w:hint="eastAsia" w:ascii="仿宋" w:hAnsi="仿宋" w:eastAsia="仿宋" w:cs="仿宋"/>
                <w:sz w:val="18"/>
                <w:szCs w:val="18"/>
              </w:rPr>
              <w:t>财务状况（</w:t>
            </w:r>
            <w:r>
              <w:rPr>
                <w:rFonts w:ascii="仿宋" w:hAnsi="仿宋" w:eastAsia="仿宋" w:cs="仿宋"/>
                <w:sz w:val="18"/>
                <w:szCs w:val="18"/>
              </w:rPr>
              <w:t>3</w:t>
            </w:r>
            <w:r>
              <w:rPr>
                <w:rFonts w:hint="eastAsia" w:ascii="仿宋" w:hAnsi="仿宋" w:eastAsia="仿宋" w:cs="仿宋"/>
                <w:sz w:val="18"/>
                <w:szCs w:val="18"/>
              </w:rPr>
              <w:t>分）</w:t>
            </w:r>
          </w:p>
        </w:tc>
        <w:tc>
          <w:tcPr>
            <w:tcW w:w="1134" w:type="dxa"/>
            <w:vAlign w:val="center"/>
          </w:tcPr>
          <w:p w14:paraId="19B52481">
            <w:pPr>
              <w:spacing w:line="240" w:lineRule="exact"/>
              <w:jc w:val="center"/>
              <w:rPr>
                <w:rFonts w:ascii="仿宋" w:hAnsi="仿宋" w:eastAsia="仿宋" w:cs="仿宋"/>
                <w:sz w:val="18"/>
                <w:szCs w:val="18"/>
              </w:rPr>
            </w:pPr>
            <w:r>
              <w:rPr>
                <w:rFonts w:hint="eastAsia" w:ascii="仿宋" w:hAnsi="仿宋" w:eastAsia="仿宋" w:cs="仿宋"/>
                <w:sz w:val="18"/>
                <w:szCs w:val="18"/>
              </w:rPr>
              <w:t>财务状况</w:t>
            </w:r>
          </w:p>
        </w:tc>
        <w:tc>
          <w:tcPr>
            <w:tcW w:w="992" w:type="dxa"/>
            <w:vAlign w:val="center"/>
          </w:tcPr>
          <w:p w14:paraId="55462EC5">
            <w:pPr>
              <w:spacing w:line="240" w:lineRule="exact"/>
              <w:jc w:val="center"/>
              <w:rPr>
                <w:rFonts w:ascii="仿宋" w:hAnsi="仿宋" w:eastAsia="仿宋" w:cs="仿宋"/>
                <w:sz w:val="18"/>
                <w:szCs w:val="18"/>
              </w:rPr>
            </w:pPr>
            <w:r>
              <w:rPr>
                <w:rFonts w:ascii="仿宋" w:hAnsi="仿宋" w:eastAsia="仿宋" w:cs="仿宋"/>
                <w:sz w:val="18"/>
                <w:szCs w:val="18"/>
              </w:rPr>
              <w:t>3</w:t>
            </w:r>
          </w:p>
        </w:tc>
        <w:tc>
          <w:tcPr>
            <w:tcW w:w="4678" w:type="dxa"/>
            <w:vAlign w:val="center"/>
          </w:tcPr>
          <w:p w14:paraId="007D2778">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hint="eastAsia" w:ascii="仿宋" w:hAnsi="仿宋" w:eastAsia="仿宋"/>
                <w:sz w:val="18"/>
                <w:szCs w:val="18"/>
                <w:lang w:val="en-US" w:eastAsia="zh-CN"/>
              </w:rPr>
              <w:t>3</w:t>
            </w:r>
            <w:r>
              <w:rPr>
                <w:rFonts w:hint="eastAsia" w:ascii="仿宋" w:hAnsi="仿宋" w:eastAsia="仿宋"/>
                <w:sz w:val="18"/>
                <w:szCs w:val="18"/>
              </w:rPr>
              <w:t>-202</w:t>
            </w:r>
            <w:r>
              <w:rPr>
                <w:rFonts w:hint="eastAsia" w:ascii="仿宋" w:hAnsi="仿宋" w:eastAsia="仿宋"/>
                <w:sz w:val="18"/>
                <w:szCs w:val="18"/>
                <w:lang w:val="en-US" w:eastAsia="zh-CN"/>
              </w:rPr>
              <w:t>5</w:t>
            </w:r>
            <w:r>
              <w:rPr>
                <w:rFonts w:hint="eastAsia" w:ascii="仿宋" w:hAnsi="仿宋" w:eastAsia="仿宋"/>
                <w:sz w:val="18"/>
                <w:szCs w:val="18"/>
              </w:rPr>
              <w:t>年度）完整审计报告，企业连续三年均盈利得3分，两年（含两年）显示盈利得2分，两年以下显示盈利得0分。</w:t>
            </w:r>
          </w:p>
          <w:p w14:paraId="5C5FC949">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605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exact"/>
          <w:jc w:val="center"/>
        </w:trPr>
        <w:tc>
          <w:tcPr>
            <w:tcW w:w="714" w:type="dxa"/>
            <w:vAlign w:val="center"/>
          </w:tcPr>
          <w:p w14:paraId="5A85843B">
            <w:pPr>
              <w:spacing w:line="240" w:lineRule="exact"/>
              <w:jc w:val="center"/>
              <w:rPr>
                <w:rFonts w:ascii="仿宋" w:hAnsi="仿宋" w:eastAsia="仿宋" w:cs="仿宋"/>
                <w:sz w:val="18"/>
                <w:szCs w:val="18"/>
              </w:rPr>
            </w:pPr>
            <w:r>
              <w:rPr>
                <w:rFonts w:ascii="仿宋" w:hAnsi="仿宋" w:eastAsia="仿宋" w:cs="仿宋"/>
                <w:sz w:val="18"/>
                <w:szCs w:val="18"/>
              </w:rPr>
              <w:t>3</w:t>
            </w:r>
          </w:p>
        </w:tc>
        <w:tc>
          <w:tcPr>
            <w:tcW w:w="1691" w:type="dxa"/>
            <w:vAlign w:val="center"/>
          </w:tcPr>
          <w:p w14:paraId="5874BFD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p>
          <w:p w14:paraId="4F2EBBC0">
            <w:pPr>
              <w:snapToGrid w:val="0"/>
              <w:spacing w:line="240" w:lineRule="exact"/>
              <w:jc w:val="center"/>
              <w:rPr>
                <w:rFonts w:ascii="仿宋" w:hAnsi="仿宋" w:eastAsia="仿宋" w:cs="仿宋"/>
                <w:sz w:val="18"/>
                <w:szCs w:val="18"/>
              </w:rPr>
            </w:pPr>
            <w:r>
              <w:rPr>
                <w:rFonts w:ascii="仿宋" w:hAnsi="仿宋" w:eastAsia="仿宋" w:cs="仿宋"/>
                <w:sz w:val="18"/>
                <w:szCs w:val="18"/>
              </w:rPr>
              <w:t>（3分）</w:t>
            </w:r>
          </w:p>
        </w:tc>
        <w:tc>
          <w:tcPr>
            <w:tcW w:w="1134" w:type="dxa"/>
            <w:vAlign w:val="center"/>
          </w:tcPr>
          <w:p w14:paraId="4EE5994E">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992" w:type="dxa"/>
            <w:vAlign w:val="center"/>
          </w:tcPr>
          <w:p w14:paraId="59371608">
            <w:pPr>
              <w:spacing w:line="240" w:lineRule="exact"/>
              <w:jc w:val="center"/>
              <w:rPr>
                <w:rFonts w:ascii="仿宋" w:hAnsi="仿宋" w:eastAsia="仿宋" w:cs="仿宋"/>
                <w:sz w:val="18"/>
                <w:szCs w:val="18"/>
              </w:rPr>
            </w:pPr>
            <w:r>
              <w:rPr>
                <w:rFonts w:ascii="仿宋" w:hAnsi="仿宋" w:eastAsia="仿宋" w:cs="仿宋"/>
                <w:sz w:val="18"/>
                <w:szCs w:val="18"/>
              </w:rPr>
              <w:t>3</w:t>
            </w:r>
          </w:p>
        </w:tc>
        <w:tc>
          <w:tcPr>
            <w:tcW w:w="4678" w:type="dxa"/>
            <w:vAlign w:val="center"/>
          </w:tcPr>
          <w:p w14:paraId="2A24C98C">
            <w:pPr>
              <w:snapToGrid w:val="0"/>
              <w:spacing w:line="240" w:lineRule="exact"/>
              <w:jc w:val="left"/>
              <w:rPr>
                <w:rFonts w:ascii="仿宋" w:hAnsi="仿宋" w:eastAsia="仿宋" w:cs="仿宋"/>
                <w:sz w:val="18"/>
                <w:szCs w:val="18"/>
              </w:rPr>
            </w:pPr>
            <w:r>
              <w:rPr>
                <w:rFonts w:hint="eastAsia" w:ascii="仿宋" w:hAnsi="仿宋" w:eastAsia="仿宋" w:cs="仿宋"/>
                <w:sz w:val="18"/>
                <w:szCs w:val="18"/>
              </w:rPr>
              <w:t>投标方具有完善的质量、环境、职业健康安全保证体系，须具有ISO9001质量、ISO14001环境、ISO45001职业健康安全（或OHSAS18001职业健康安全）管理体系的认证证书（须在有效期内）</w:t>
            </w:r>
            <w:r>
              <w:rPr>
                <w:rFonts w:ascii="仿宋" w:hAnsi="仿宋" w:eastAsia="仿宋" w:cs="仿宋"/>
                <w:sz w:val="18"/>
                <w:szCs w:val="18"/>
              </w:rPr>
              <w:t>。以上证书齐全的得3分</w:t>
            </w:r>
            <w:r>
              <w:rPr>
                <w:rFonts w:hint="eastAsia" w:ascii="仿宋" w:hAnsi="仿宋" w:eastAsia="仿宋" w:cs="仿宋"/>
                <w:sz w:val="18"/>
                <w:szCs w:val="18"/>
              </w:rPr>
              <w:t>，否则不得分。</w:t>
            </w:r>
          </w:p>
        </w:tc>
      </w:tr>
      <w:tr w14:paraId="4616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714" w:type="dxa"/>
            <w:vAlign w:val="center"/>
          </w:tcPr>
          <w:p w14:paraId="2F593A6C">
            <w:pPr>
              <w:spacing w:line="240" w:lineRule="exact"/>
              <w:jc w:val="center"/>
              <w:rPr>
                <w:rFonts w:ascii="仿宋" w:hAnsi="仿宋" w:eastAsia="仿宋" w:cs="仿宋"/>
                <w:sz w:val="18"/>
                <w:szCs w:val="18"/>
              </w:rPr>
            </w:pPr>
            <w:r>
              <w:rPr>
                <w:rFonts w:ascii="仿宋" w:hAnsi="仿宋" w:eastAsia="仿宋" w:cs="仿宋"/>
                <w:sz w:val="18"/>
                <w:szCs w:val="18"/>
              </w:rPr>
              <w:t>4</w:t>
            </w:r>
          </w:p>
        </w:tc>
        <w:tc>
          <w:tcPr>
            <w:tcW w:w="1691" w:type="dxa"/>
            <w:vAlign w:val="center"/>
          </w:tcPr>
          <w:p w14:paraId="2A61125E">
            <w:pPr>
              <w:spacing w:line="240" w:lineRule="exact"/>
              <w:jc w:val="center"/>
              <w:rPr>
                <w:rFonts w:ascii="仿宋" w:hAnsi="仿宋" w:eastAsia="仿宋"/>
                <w:sz w:val="18"/>
                <w:szCs w:val="18"/>
              </w:rPr>
            </w:pPr>
            <w:r>
              <w:rPr>
                <w:rFonts w:hint="eastAsia" w:ascii="仿宋" w:hAnsi="仿宋" w:eastAsia="仿宋"/>
                <w:sz w:val="18"/>
                <w:szCs w:val="18"/>
              </w:rPr>
              <w:t>质保承诺</w:t>
            </w:r>
          </w:p>
          <w:p w14:paraId="120710CD">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1</w:t>
            </w:r>
            <w:r>
              <w:rPr>
                <w:rFonts w:hint="eastAsia" w:ascii="仿宋" w:hAnsi="仿宋" w:eastAsia="仿宋"/>
                <w:sz w:val="18"/>
                <w:szCs w:val="18"/>
              </w:rPr>
              <w:t>分）</w:t>
            </w:r>
          </w:p>
        </w:tc>
        <w:tc>
          <w:tcPr>
            <w:tcW w:w="1134" w:type="dxa"/>
            <w:vAlign w:val="center"/>
          </w:tcPr>
          <w:p w14:paraId="341C367B">
            <w:pPr>
              <w:spacing w:line="240" w:lineRule="exact"/>
              <w:jc w:val="center"/>
              <w:rPr>
                <w:rFonts w:ascii="仿宋" w:hAnsi="仿宋" w:eastAsia="仿宋" w:cs="仿宋"/>
                <w:sz w:val="18"/>
                <w:szCs w:val="18"/>
              </w:rPr>
            </w:pPr>
            <w:r>
              <w:rPr>
                <w:rFonts w:hint="eastAsia" w:ascii="仿宋" w:hAnsi="仿宋" w:eastAsia="仿宋" w:cs="仿宋"/>
                <w:sz w:val="18"/>
                <w:szCs w:val="18"/>
              </w:rPr>
              <w:t>质保</w:t>
            </w:r>
          </w:p>
        </w:tc>
        <w:tc>
          <w:tcPr>
            <w:tcW w:w="992" w:type="dxa"/>
            <w:vAlign w:val="center"/>
          </w:tcPr>
          <w:p w14:paraId="3962D464">
            <w:pPr>
              <w:spacing w:line="240" w:lineRule="exact"/>
              <w:jc w:val="center"/>
              <w:rPr>
                <w:rFonts w:ascii="仿宋" w:hAnsi="仿宋" w:eastAsia="仿宋" w:cs="仿宋"/>
                <w:sz w:val="18"/>
                <w:szCs w:val="18"/>
              </w:rPr>
            </w:pPr>
            <w:r>
              <w:rPr>
                <w:rFonts w:ascii="仿宋" w:hAnsi="仿宋" w:eastAsia="仿宋" w:cs="仿宋"/>
                <w:sz w:val="18"/>
                <w:szCs w:val="18"/>
              </w:rPr>
              <w:t>1</w:t>
            </w:r>
          </w:p>
        </w:tc>
        <w:tc>
          <w:tcPr>
            <w:tcW w:w="4678" w:type="dxa"/>
            <w:vAlign w:val="center"/>
          </w:tcPr>
          <w:p w14:paraId="068C5916">
            <w:pPr>
              <w:snapToGrid w:val="0"/>
              <w:spacing w:line="240" w:lineRule="exact"/>
              <w:rPr>
                <w:rFonts w:ascii="仿宋" w:hAnsi="仿宋" w:eastAsia="仿宋"/>
                <w:sz w:val="18"/>
                <w:szCs w:val="18"/>
              </w:rPr>
            </w:pPr>
            <w:r>
              <w:rPr>
                <w:rFonts w:hint="eastAsia" w:ascii="仿宋" w:hAnsi="仿宋" w:eastAsia="仿宋"/>
                <w:sz w:val="18"/>
                <w:szCs w:val="18"/>
              </w:rPr>
              <w:t>质保期：在招标文件规定的基础上，质保期每延长6个月得</w:t>
            </w:r>
            <w:r>
              <w:rPr>
                <w:rFonts w:ascii="仿宋" w:hAnsi="仿宋" w:eastAsia="仿宋"/>
                <w:sz w:val="18"/>
                <w:szCs w:val="18"/>
              </w:rPr>
              <w:t>0.5</w:t>
            </w:r>
            <w:r>
              <w:rPr>
                <w:rFonts w:hint="eastAsia" w:ascii="仿宋" w:hAnsi="仿宋" w:eastAsia="仿宋"/>
                <w:sz w:val="18"/>
                <w:szCs w:val="18"/>
              </w:rPr>
              <w:t>分，最高得</w:t>
            </w:r>
            <w:r>
              <w:rPr>
                <w:rFonts w:ascii="仿宋" w:hAnsi="仿宋" w:eastAsia="仿宋"/>
                <w:sz w:val="18"/>
                <w:szCs w:val="18"/>
              </w:rPr>
              <w:t>1</w:t>
            </w:r>
            <w:r>
              <w:rPr>
                <w:rFonts w:hint="eastAsia" w:ascii="仿宋" w:hAnsi="仿宋" w:eastAsia="仿宋"/>
                <w:sz w:val="18"/>
                <w:szCs w:val="18"/>
              </w:rPr>
              <w:t>分，不足6个月不计。</w:t>
            </w:r>
          </w:p>
          <w:p w14:paraId="1F7AD3A7">
            <w:pPr>
              <w:snapToGrid w:val="0"/>
              <w:spacing w:line="240" w:lineRule="exact"/>
              <w:rPr>
                <w:rFonts w:ascii="仿宋" w:hAnsi="仿宋" w:eastAsia="仿宋" w:cs="仿宋"/>
                <w:sz w:val="18"/>
                <w:szCs w:val="18"/>
              </w:rPr>
            </w:pPr>
            <w:r>
              <w:rPr>
                <w:rFonts w:hint="eastAsia" w:ascii="仿宋" w:hAnsi="仿宋" w:eastAsia="仿宋"/>
                <w:sz w:val="18"/>
                <w:szCs w:val="18"/>
              </w:rPr>
              <w:t>（须在投标文件中附承诺并加盖公章，否则不得分。）</w:t>
            </w:r>
          </w:p>
        </w:tc>
      </w:tr>
      <w:tr w14:paraId="620A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714" w:type="dxa"/>
            <w:vAlign w:val="center"/>
          </w:tcPr>
          <w:p w14:paraId="63829B25">
            <w:pPr>
              <w:spacing w:line="240" w:lineRule="exact"/>
              <w:jc w:val="center"/>
              <w:rPr>
                <w:rFonts w:ascii="仿宋" w:hAnsi="仿宋" w:eastAsia="仿宋" w:cs="仿宋"/>
                <w:sz w:val="18"/>
                <w:szCs w:val="18"/>
              </w:rPr>
            </w:pPr>
            <w:r>
              <w:rPr>
                <w:rFonts w:ascii="仿宋" w:hAnsi="仿宋" w:eastAsia="仿宋" w:cs="仿宋"/>
                <w:sz w:val="18"/>
                <w:szCs w:val="18"/>
              </w:rPr>
              <w:t>5</w:t>
            </w:r>
          </w:p>
        </w:tc>
        <w:tc>
          <w:tcPr>
            <w:tcW w:w="1691" w:type="dxa"/>
            <w:vAlign w:val="center"/>
          </w:tcPr>
          <w:p w14:paraId="639E87B3">
            <w:pPr>
              <w:spacing w:line="240" w:lineRule="exact"/>
              <w:jc w:val="center"/>
              <w:rPr>
                <w:rFonts w:ascii="仿宋" w:hAnsi="仿宋" w:eastAsia="仿宋" w:cs="仿宋"/>
                <w:sz w:val="18"/>
                <w:szCs w:val="18"/>
              </w:rPr>
            </w:pPr>
            <w:r>
              <w:rPr>
                <w:rFonts w:hint="eastAsia" w:ascii="仿宋" w:hAnsi="仿宋" w:eastAsia="仿宋"/>
                <w:sz w:val="18"/>
                <w:szCs w:val="18"/>
              </w:rPr>
              <w:t>综合评价（2分）</w:t>
            </w:r>
          </w:p>
        </w:tc>
        <w:tc>
          <w:tcPr>
            <w:tcW w:w="1134" w:type="dxa"/>
            <w:vAlign w:val="center"/>
          </w:tcPr>
          <w:p w14:paraId="53C8C5F4">
            <w:pPr>
              <w:spacing w:line="240" w:lineRule="exact"/>
              <w:jc w:val="center"/>
              <w:rPr>
                <w:rFonts w:ascii="仿宋" w:hAnsi="仿宋" w:eastAsia="仿宋" w:cs="仿宋"/>
                <w:sz w:val="18"/>
                <w:szCs w:val="18"/>
              </w:rPr>
            </w:pPr>
            <w:r>
              <w:rPr>
                <w:rFonts w:hint="eastAsia" w:ascii="仿宋" w:hAnsi="仿宋" w:eastAsia="仿宋" w:cs="仿宋"/>
                <w:sz w:val="18"/>
                <w:szCs w:val="18"/>
              </w:rPr>
              <w:t>综合评价</w:t>
            </w:r>
          </w:p>
        </w:tc>
        <w:tc>
          <w:tcPr>
            <w:tcW w:w="992" w:type="dxa"/>
            <w:vAlign w:val="center"/>
          </w:tcPr>
          <w:p w14:paraId="585EF901">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4678" w:type="dxa"/>
            <w:vAlign w:val="center"/>
          </w:tcPr>
          <w:p w14:paraId="28C3290F">
            <w:pPr>
              <w:spacing w:line="240" w:lineRule="exact"/>
              <w:rPr>
                <w:rFonts w:ascii="仿宋" w:hAnsi="仿宋" w:eastAsia="仿宋" w:cs="仿宋"/>
                <w:sz w:val="18"/>
                <w:szCs w:val="18"/>
              </w:rPr>
            </w:pPr>
            <w:r>
              <w:rPr>
                <w:rFonts w:hint="eastAsia" w:ascii="仿宋" w:hAnsi="仿宋" w:eastAsia="仿宋"/>
                <w:sz w:val="18"/>
                <w:szCs w:val="18"/>
              </w:rPr>
              <w:t>对投标单位的能力以及完成项目的进度、质量、安全、信誉等方面</w:t>
            </w:r>
            <w:r>
              <w:rPr>
                <w:rFonts w:ascii="仿宋" w:hAnsi="仿宋" w:eastAsia="仿宋"/>
                <w:sz w:val="18"/>
                <w:szCs w:val="18"/>
              </w:rPr>
              <w:t>进行综合评价</w:t>
            </w:r>
          </w:p>
        </w:tc>
      </w:tr>
    </w:tbl>
    <w:p w14:paraId="573257F0">
      <w:pPr>
        <w:spacing w:line="240" w:lineRule="exact"/>
        <w:ind w:firstLine="560" w:firstLineChars="200"/>
        <w:rPr>
          <w:rFonts w:ascii="仿宋" w:hAnsi="仿宋" w:eastAsia="仿宋"/>
          <w:sz w:val="28"/>
          <w:szCs w:val="28"/>
        </w:rPr>
      </w:pPr>
    </w:p>
    <w:p w14:paraId="416479F7">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54B7EECB">
      <w:pPr>
        <w:spacing w:line="100" w:lineRule="exact"/>
        <w:ind w:firstLine="2741" w:firstLineChars="1300"/>
        <w:rPr>
          <w:rFonts w:ascii="宋体" w:hAnsi="宋体"/>
          <w:b/>
          <w:szCs w:val="21"/>
        </w:rPr>
      </w:pPr>
    </w:p>
    <w:p w14:paraId="46A7C229">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2CD07909">
      <w:pPr>
        <w:spacing w:line="160" w:lineRule="exact"/>
        <w:ind w:firstLine="2741" w:firstLineChars="1300"/>
        <w:rPr>
          <w:rFonts w:ascii="宋体" w:hAnsi="宋体"/>
          <w:b/>
          <w:szCs w:val="21"/>
        </w:rPr>
      </w:pPr>
    </w:p>
    <w:tbl>
      <w:tblPr>
        <w:tblStyle w:val="48"/>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93"/>
        <w:gridCol w:w="993"/>
        <w:gridCol w:w="3685"/>
        <w:gridCol w:w="1036"/>
      </w:tblGrid>
      <w:tr w14:paraId="2A77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6" w:type="dxa"/>
            <w:tcBorders>
              <w:bottom w:val="single" w:color="auto" w:sz="4" w:space="0"/>
            </w:tcBorders>
            <w:vAlign w:val="center"/>
          </w:tcPr>
          <w:p w14:paraId="7C0474FE">
            <w:pPr>
              <w:adjustRightInd w:val="0"/>
              <w:snapToGrid w:val="0"/>
              <w:spacing w:line="240" w:lineRule="exact"/>
              <w:jc w:val="center"/>
              <w:rPr>
                <w:rFonts w:ascii="仿宋" w:hAnsi="仿宋" w:eastAsia="仿宋"/>
                <w:b/>
              </w:rPr>
            </w:pPr>
            <w:r>
              <w:rPr>
                <w:rFonts w:hint="eastAsia" w:ascii="仿宋" w:hAnsi="仿宋" w:eastAsia="仿宋"/>
                <w:b/>
              </w:rPr>
              <w:t>序号</w:t>
            </w:r>
          </w:p>
        </w:tc>
        <w:tc>
          <w:tcPr>
            <w:tcW w:w="2693" w:type="dxa"/>
            <w:tcBorders>
              <w:bottom w:val="single" w:color="auto" w:sz="4" w:space="0"/>
            </w:tcBorders>
            <w:vAlign w:val="center"/>
          </w:tcPr>
          <w:p w14:paraId="52092C28">
            <w:pPr>
              <w:adjustRightInd w:val="0"/>
              <w:snapToGrid w:val="0"/>
              <w:spacing w:line="240" w:lineRule="exact"/>
              <w:jc w:val="center"/>
              <w:rPr>
                <w:rFonts w:ascii="仿宋" w:hAnsi="仿宋" w:eastAsia="仿宋"/>
                <w:b/>
              </w:rPr>
            </w:pPr>
            <w:r>
              <w:rPr>
                <w:rFonts w:hint="eastAsia" w:ascii="仿宋" w:hAnsi="仿宋" w:eastAsia="仿宋"/>
                <w:b/>
              </w:rPr>
              <w:t>项目</w:t>
            </w:r>
          </w:p>
        </w:tc>
        <w:tc>
          <w:tcPr>
            <w:tcW w:w="993" w:type="dxa"/>
            <w:tcBorders>
              <w:bottom w:val="single" w:color="auto" w:sz="4" w:space="0"/>
            </w:tcBorders>
            <w:vAlign w:val="center"/>
          </w:tcPr>
          <w:p w14:paraId="44EFEC59">
            <w:pPr>
              <w:adjustRightInd w:val="0"/>
              <w:snapToGrid w:val="0"/>
              <w:spacing w:line="240" w:lineRule="exact"/>
              <w:jc w:val="center"/>
              <w:rPr>
                <w:rFonts w:ascii="仿宋" w:hAnsi="仿宋" w:eastAsia="仿宋"/>
                <w:b/>
              </w:rPr>
            </w:pPr>
            <w:r>
              <w:rPr>
                <w:rFonts w:hint="eastAsia" w:ascii="仿宋" w:hAnsi="仿宋" w:eastAsia="仿宋"/>
                <w:b/>
              </w:rPr>
              <w:t>标准分</w:t>
            </w:r>
          </w:p>
        </w:tc>
        <w:tc>
          <w:tcPr>
            <w:tcW w:w="3685" w:type="dxa"/>
            <w:tcBorders>
              <w:bottom w:val="single" w:color="auto" w:sz="4" w:space="0"/>
            </w:tcBorders>
            <w:vAlign w:val="center"/>
          </w:tcPr>
          <w:p w14:paraId="434AE8CD">
            <w:pPr>
              <w:adjustRightInd w:val="0"/>
              <w:snapToGrid w:val="0"/>
              <w:spacing w:line="240" w:lineRule="exact"/>
              <w:jc w:val="center"/>
              <w:rPr>
                <w:rFonts w:ascii="仿宋" w:hAnsi="仿宋" w:eastAsia="仿宋"/>
                <w:b/>
              </w:rPr>
            </w:pPr>
            <w:r>
              <w:rPr>
                <w:rFonts w:hint="eastAsia" w:ascii="仿宋" w:hAnsi="仿宋" w:eastAsia="仿宋"/>
                <w:b/>
              </w:rPr>
              <w:t>评分标准</w:t>
            </w:r>
          </w:p>
        </w:tc>
        <w:tc>
          <w:tcPr>
            <w:tcW w:w="1036" w:type="dxa"/>
            <w:tcBorders>
              <w:bottom w:val="single" w:color="auto" w:sz="4" w:space="0"/>
            </w:tcBorders>
            <w:vAlign w:val="center"/>
          </w:tcPr>
          <w:p w14:paraId="2BD1CB7A">
            <w:pPr>
              <w:adjustRightInd w:val="0"/>
              <w:snapToGrid w:val="0"/>
              <w:spacing w:line="240" w:lineRule="exact"/>
              <w:jc w:val="center"/>
              <w:rPr>
                <w:rFonts w:ascii="仿宋" w:hAnsi="仿宋" w:eastAsia="仿宋"/>
                <w:b/>
              </w:rPr>
            </w:pPr>
            <w:r>
              <w:rPr>
                <w:rFonts w:hint="eastAsia" w:ascii="仿宋" w:hAnsi="仿宋" w:eastAsia="仿宋"/>
                <w:b/>
              </w:rPr>
              <w:t>分值</w:t>
            </w:r>
          </w:p>
        </w:tc>
      </w:tr>
      <w:tr w14:paraId="1E6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56" w:type="dxa"/>
            <w:vMerge w:val="restart"/>
            <w:vAlign w:val="center"/>
          </w:tcPr>
          <w:p w14:paraId="53001F56">
            <w:pPr>
              <w:spacing w:line="240" w:lineRule="exact"/>
              <w:jc w:val="center"/>
              <w:rPr>
                <w:rFonts w:ascii="仿宋" w:hAnsi="仿宋" w:eastAsia="仿宋"/>
              </w:rPr>
            </w:pPr>
            <w:r>
              <w:rPr>
                <w:rFonts w:hint="eastAsia" w:ascii="仿宋" w:hAnsi="仿宋" w:eastAsia="仿宋"/>
              </w:rPr>
              <w:t>1</w:t>
            </w:r>
          </w:p>
        </w:tc>
        <w:tc>
          <w:tcPr>
            <w:tcW w:w="2693" w:type="dxa"/>
            <w:vMerge w:val="restart"/>
            <w:vAlign w:val="center"/>
          </w:tcPr>
          <w:p w14:paraId="46BEF704">
            <w:pPr>
              <w:spacing w:line="380" w:lineRule="exact"/>
              <w:ind w:firstLine="420" w:firstLineChars="200"/>
              <w:rPr>
                <w:rFonts w:ascii="仿宋" w:hAnsi="仿宋" w:eastAsia="仿宋"/>
              </w:rPr>
            </w:pPr>
            <w:r>
              <w:rPr>
                <w:rFonts w:hint="eastAsia" w:ascii="仿宋" w:hAnsi="仿宋" w:eastAsia="仿宋"/>
              </w:rPr>
              <w:t>技术方案</w:t>
            </w:r>
          </w:p>
        </w:tc>
        <w:tc>
          <w:tcPr>
            <w:tcW w:w="993" w:type="dxa"/>
            <w:vMerge w:val="restart"/>
            <w:vAlign w:val="center"/>
          </w:tcPr>
          <w:p w14:paraId="271726F3">
            <w:pPr>
              <w:spacing w:line="380" w:lineRule="exact"/>
              <w:jc w:val="center"/>
              <w:rPr>
                <w:rFonts w:ascii="仿宋" w:hAnsi="仿宋" w:eastAsia="仿宋"/>
              </w:rPr>
            </w:pPr>
            <w:r>
              <w:rPr>
                <w:rFonts w:ascii="仿宋" w:hAnsi="仿宋" w:eastAsia="仿宋"/>
              </w:rPr>
              <w:t>1</w:t>
            </w:r>
            <w:r>
              <w:rPr>
                <w:rFonts w:hint="eastAsia" w:ascii="仿宋" w:hAnsi="仿宋" w:eastAsia="仿宋"/>
              </w:rPr>
              <w:t>0分</w:t>
            </w:r>
          </w:p>
        </w:tc>
        <w:tc>
          <w:tcPr>
            <w:tcW w:w="3685" w:type="dxa"/>
            <w:vAlign w:val="center"/>
          </w:tcPr>
          <w:p w14:paraId="3E3E1198">
            <w:pPr>
              <w:spacing w:line="240" w:lineRule="exact"/>
              <w:rPr>
                <w:rFonts w:ascii="仿宋" w:hAnsi="仿宋" w:eastAsia="仿宋"/>
                <w:spacing w:val="-4"/>
                <w:sz w:val="20"/>
                <w:szCs w:val="18"/>
              </w:rPr>
            </w:pPr>
            <w:r>
              <w:rPr>
                <w:rFonts w:hint="eastAsia" w:ascii="仿宋" w:hAnsi="仿宋" w:eastAsia="仿宋"/>
                <w:spacing w:val="-4"/>
                <w:sz w:val="20"/>
                <w:szCs w:val="18"/>
              </w:rPr>
              <w:t>根据投标单位提供的技术方案：具有技术针对性，科学可行，方案明理清析得</w:t>
            </w:r>
            <w:r>
              <w:rPr>
                <w:rFonts w:ascii="仿宋" w:hAnsi="仿宋" w:eastAsia="仿宋"/>
                <w:spacing w:val="-4"/>
                <w:sz w:val="20"/>
                <w:szCs w:val="18"/>
              </w:rPr>
              <w:t>10</w:t>
            </w:r>
            <w:r>
              <w:rPr>
                <w:rFonts w:hint="eastAsia" w:ascii="仿宋" w:hAnsi="仿宋" w:eastAsia="仿宋"/>
                <w:spacing w:val="-4"/>
                <w:sz w:val="20"/>
                <w:szCs w:val="18"/>
              </w:rPr>
              <w:t>-</w:t>
            </w:r>
            <w:r>
              <w:rPr>
                <w:rFonts w:ascii="仿宋" w:hAnsi="仿宋" w:eastAsia="仿宋"/>
                <w:spacing w:val="-4"/>
                <w:sz w:val="20"/>
                <w:szCs w:val="18"/>
              </w:rPr>
              <w:t>8</w:t>
            </w:r>
            <w:r>
              <w:rPr>
                <w:rFonts w:hint="eastAsia" w:ascii="仿宋" w:hAnsi="仿宋" w:eastAsia="仿宋"/>
                <w:spacing w:val="-4"/>
                <w:sz w:val="20"/>
                <w:szCs w:val="18"/>
              </w:rPr>
              <w:t>分，一般得</w:t>
            </w:r>
            <w:r>
              <w:rPr>
                <w:rFonts w:ascii="仿宋" w:hAnsi="仿宋" w:eastAsia="仿宋"/>
                <w:spacing w:val="-4"/>
                <w:sz w:val="20"/>
                <w:szCs w:val="18"/>
              </w:rPr>
              <w:t>7</w:t>
            </w:r>
            <w:r>
              <w:rPr>
                <w:rFonts w:hint="eastAsia" w:ascii="仿宋" w:hAnsi="仿宋" w:eastAsia="仿宋"/>
                <w:spacing w:val="-4"/>
                <w:sz w:val="20"/>
                <w:szCs w:val="18"/>
              </w:rPr>
              <w:t>-</w:t>
            </w:r>
            <w:r>
              <w:rPr>
                <w:rFonts w:ascii="仿宋" w:hAnsi="仿宋" w:eastAsia="仿宋"/>
                <w:spacing w:val="-4"/>
                <w:sz w:val="20"/>
                <w:szCs w:val="18"/>
              </w:rPr>
              <w:t>5</w:t>
            </w:r>
            <w:r>
              <w:rPr>
                <w:rFonts w:hint="eastAsia" w:ascii="仿宋" w:hAnsi="仿宋" w:eastAsia="仿宋"/>
                <w:spacing w:val="-4"/>
                <w:sz w:val="20"/>
                <w:szCs w:val="18"/>
              </w:rPr>
              <w:t>分，方案不充分、不完善得</w:t>
            </w:r>
            <w:r>
              <w:rPr>
                <w:rFonts w:ascii="仿宋" w:hAnsi="仿宋" w:eastAsia="仿宋"/>
                <w:spacing w:val="-4"/>
                <w:sz w:val="20"/>
                <w:szCs w:val="18"/>
              </w:rPr>
              <w:t>4</w:t>
            </w:r>
            <w:r>
              <w:rPr>
                <w:rFonts w:hint="eastAsia" w:ascii="仿宋" w:hAnsi="仿宋" w:eastAsia="仿宋"/>
                <w:spacing w:val="-4"/>
                <w:sz w:val="20"/>
                <w:szCs w:val="18"/>
              </w:rPr>
              <w:t>-0分。</w:t>
            </w:r>
          </w:p>
        </w:tc>
        <w:tc>
          <w:tcPr>
            <w:tcW w:w="1036" w:type="dxa"/>
            <w:vAlign w:val="center"/>
          </w:tcPr>
          <w:p w14:paraId="6E35BB79">
            <w:pPr>
              <w:spacing w:line="380" w:lineRule="exact"/>
              <w:rPr>
                <w:rFonts w:ascii="仿宋" w:hAnsi="仿宋" w:eastAsia="仿宋"/>
              </w:rPr>
            </w:pPr>
            <w:r>
              <w:rPr>
                <w:rFonts w:hint="eastAsia" w:ascii="仿宋" w:hAnsi="仿宋" w:eastAsia="仿宋"/>
              </w:rPr>
              <w:t>0-</w:t>
            </w:r>
            <w:r>
              <w:rPr>
                <w:rFonts w:ascii="仿宋" w:hAnsi="仿宋" w:eastAsia="仿宋"/>
              </w:rPr>
              <w:t>1</w:t>
            </w:r>
            <w:r>
              <w:rPr>
                <w:rFonts w:hint="eastAsia" w:ascii="仿宋" w:hAnsi="仿宋" w:eastAsia="仿宋"/>
              </w:rPr>
              <w:t>0分</w:t>
            </w:r>
          </w:p>
        </w:tc>
      </w:tr>
      <w:tr w14:paraId="7CC1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56" w:type="dxa"/>
            <w:vAlign w:val="center"/>
          </w:tcPr>
          <w:p w14:paraId="168E9957">
            <w:pPr>
              <w:spacing w:line="240" w:lineRule="exact"/>
              <w:jc w:val="center"/>
              <w:rPr>
                <w:rFonts w:ascii="仿宋" w:hAnsi="仿宋" w:eastAsia="仿宋"/>
              </w:rPr>
            </w:pPr>
            <w:r>
              <w:rPr>
                <w:rFonts w:hint="eastAsia" w:ascii="仿宋" w:hAnsi="仿宋" w:eastAsia="仿宋"/>
              </w:rPr>
              <w:t>2</w:t>
            </w:r>
          </w:p>
        </w:tc>
        <w:tc>
          <w:tcPr>
            <w:tcW w:w="2693" w:type="dxa"/>
            <w:vAlign w:val="center"/>
          </w:tcPr>
          <w:p w14:paraId="779D58AC">
            <w:pPr>
              <w:spacing w:line="380" w:lineRule="exact"/>
              <w:ind w:firstLine="420" w:firstLineChars="200"/>
              <w:rPr>
                <w:rFonts w:ascii="仿宋" w:hAnsi="仿宋" w:eastAsia="仿宋"/>
              </w:rPr>
            </w:pPr>
            <w:r>
              <w:rPr>
                <w:rFonts w:hint="eastAsia" w:ascii="仿宋" w:hAnsi="仿宋" w:eastAsia="仿宋"/>
              </w:rPr>
              <w:t>合理化建议</w:t>
            </w:r>
          </w:p>
        </w:tc>
        <w:tc>
          <w:tcPr>
            <w:tcW w:w="993" w:type="dxa"/>
            <w:vAlign w:val="center"/>
          </w:tcPr>
          <w:p w14:paraId="6A5FB5EB">
            <w:pPr>
              <w:spacing w:line="380" w:lineRule="exact"/>
              <w:jc w:val="center"/>
              <w:rPr>
                <w:rFonts w:ascii="仿宋" w:hAnsi="仿宋" w:eastAsia="仿宋"/>
              </w:rPr>
            </w:pPr>
            <w:r>
              <w:rPr>
                <w:rFonts w:hint="eastAsia" w:ascii="仿宋" w:hAnsi="仿宋" w:eastAsia="仿宋"/>
              </w:rPr>
              <w:t>2分</w:t>
            </w:r>
          </w:p>
        </w:tc>
        <w:tc>
          <w:tcPr>
            <w:tcW w:w="3685" w:type="dxa"/>
            <w:vAlign w:val="center"/>
          </w:tcPr>
          <w:p w14:paraId="74D2E6E3">
            <w:pPr>
              <w:spacing w:line="240" w:lineRule="exact"/>
              <w:rPr>
                <w:rFonts w:ascii="仿宋" w:hAnsi="仿宋" w:eastAsia="仿宋"/>
                <w:spacing w:val="-4"/>
                <w:sz w:val="20"/>
                <w:szCs w:val="18"/>
              </w:rPr>
            </w:pPr>
            <w:r>
              <w:rPr>
                <w:rFonts w:hint="eastAsia" w:ascii="仿宋" w:hAnsi="仿宋" w:eastAsia="仿宋"/>
                <w:spacing w:val="-4"/>
                <w:sz w:val="20"/>
                <w:szCs w:val="18"/>
              </w:rPr>
              <w:t>每被采纳1条得1分</w:t>
            </w:r>
          </w:p>
        </w:tc>
        <w:tc>
          <w:tcPr>
            <w:tcW w:w="1036" w:type="dxa"/>
            <w:vAlign w:val="center"/>
          </w:tcPr>
          <w:p w14:paraId="59F08F98">
            <w:pPr>
              <w:spacing w:line="380" w:lineRule="exact"/>
              <w:rPr>
                <w:rFonts w:ascii="仿宋" w:hAnsi="仿宋" w:eastAsia="仿宋"/>
              </w:rPr>
            </w:pPr>
            <w:r>
              <w:rPr>
                <w:rFonts w:hint="eastAsia" w:ascii="仿宋" w:hAnsi="仿宋" w:eastAsia="仿宋"/>
              </w:rPr>
              <w:t>0-2分</w:t>
            </w:r>
          </w:p>
        </w:tc>
      </w:tr>
      <w:tr w14:paraId="2574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56" w:type="dxa"/>
            <w:vAlign w:val="center"/>
          </w:tcPr>
          <w:p w14:paraId="062AA599">
            <w:pPr>
              <w:spacing w:line="240" w:lineRule="exact"/>
              <w:jc w:val="center"/>
              <w:rPr>
                <w:rFonts w:ascii="仿宋" w:hAnsi="仿宋" w:eastAsia="仿宋"/>
              </w:rPr>
            </w:pPr>
            <w:r>
              <w:rPr>
                <w:rFonts w:hint="eastAsia" w:ascii="仿宋" w:hAnsi="仿宋" w:eastAsia="仿宋"/>
              </w:rPr>
              <w:t>3</w:t>
            </w:r>
          </w:p>
        </w:tc>
        <w:tc>
          <w:tcPr>
            <w:tcW w:w="2693" w:type="dxa"/>
            <w:vAlign w:val="center"/>
          </w:tcPr>
          <w:p w14:paraId="2D1F8014">
            <w:pPr>
              <w:spacing w:line="380" w:lineRule="exact"/>
              <w:ind w:firstLine="360" w:firstLineChars="200"/>
              <w:rPr>
                <w:rFonts w:ascii="仿宋" w:hAnsi="仿宋" w:eastAsia="仿宋"/>
              </w:rPr>
            </w:pPr>
            <w:r>
              <w:rPr>
                <w:rFonts w:hint="eastAsia" w:ascii="仿宋" w:hAnsi="仿宋" w:eastAsia="仿宋" w:cs="仿宋"/>
                <w:sz w:val="18"/>
                <w:szCs w:val="18"/>
              </w:rPr>
              <w:t>业绩</w:t>
            </w:r>
          </w:p>
        </w:tc>
        <w:tc>
          <w:tcPr>
            <w:tcW w:w="993" w:type="dxa"/>
            <w:vAlign w:val="center"/>
          </w:tcPr>
          <w:p w14:paraId="2C813A29">
            <w:pPr>
              <w:spacing w:line="380" w:lineRule="exact"/>
              <w:jc w:val="center"/>
              <w:rPr>
                <w:rFonts w:ascii="仿宋" w:hAnsi="仿宋" w:eastAsia="仿宋"/>
              </w:rPr>
            </w:pPr>
            <w:r>
              <w:rPr>
                <w:rFonts w:ascii="仿宋" w:hAnsi="仿宋" w:eastAsia="仿宋"/>
              </w:rPr>
              <w:t>6</w:t>
            </w:r>
            <w:r>
              <w:rPr>
                <w:rFonts w:hint="eastAsia" w:ascii="仿宋" w:hAnsi="仿宋" w:eastAsia="仿宋"/>
              </w:rPr>
              <w:t>分</w:t>
            </w:r>
          </w:p>
        </w:tc>
        <w:tc>
          <w:tcPr>
            <w:tcW w:w="3685" w:type="dxa"/>
            <w:vAlign w:val="center"/>
          </w:tcPr>
          <w:p w14:paraId="74A107E4">
            <w:pPr>
              <w:spacing w:line="200" w:lineRule="exact"/>
              <w:rPr>
                <w:rFonts w:ascii="仿宋" w:hAnsi="仿宋" w:eastAsia="仿宋"/>
                <w:spacing w:val="-4"/>
                <w:sz w:val="20"/>
                <w:szCs w:val="18"/>
              </w:rPr>
            </w:pPr>
            <w:bookmarkStart w:id="0" w:name="_Hlk216336373"/>
            <w:r>
              <w:rPr>
                <w:rFonts w:hint="eastAsia" w:ascii="仿宋" w:hAnsi="仿宋" w:eastAsia="仿宋"/>
                <w:sz w:val="18"/>
                <w:szCs w:val="18"/>
              </w:rPr>
              <w:t>近</w:t>
            </w:r>
            <w:r>
              <w:rPr>
                <w:rFonts w:hint="eastAsia" w:ascii="仿宋" w:hAnsi="仿宋" w:eastAsia="仿宋"/>
                <w:sz w:val="18"/>
                <w:szCs w:val="18"/>
                <w:lang w:val="en-US" w:eastAsia="zh-CN"/>
              </w:rPr>
              <w:t>5</w:t>
            </w:r>
            <w:r>
              <w:rPr>
                <w:rFonts w:hint="eastAsia" w:ascii="仿宋" w:hAnsi="仿宋" w:eastAsia="仿宋"/>
                <w:sz w:val="18"/>
                <w:szCs w:val="18"/>
              </w:rPr>
              <w:t>年内已施工结束的防雷检测服务项目（合同已签未施工的不属于业绩范围），要求列出</w:t>
            </w:r>
            <w:r>
              <w:rPr>
                <w:rFonts w:hint="eastAsia" w:ascii="仿宋" w:hAnsi="仿宋" w:eastAsia="仿宋"/>
                <w:sz w:val="18"/>
                <w:szCs w:val="18"/>
                <w:lang w:val="en-US" w:eastAsia="zh-CN"/>
              </w:rPr>
              <w:t>服务</w:t>
            </w:r>
            <w:r>
              <w:rPr>
                <w:rFonts w:hint="eastAsia" w:ascii="仿宋" w:hAnsi="仿宋" w:eastAsia="仿宋"/>
                <w:sz w:val="18"/>
                <w:szCs w:val="18"/>
              </w:rPr>
              <w:t>时间及联系人（附业绩合同，需明确体现台数)业绩</w:t>
            </w:r>
            <w:bookmarkEnd w:id="0"/>
            <w:r>
              <w:rPr>
                <w:rFonts w:hint="eastAsia" w:ascii="仿宋" w:hAnsi="仿宋" w:eastAsia="仿宋"/>
                <w:sz w:val="18"/>
                <w:szCs w:val="18"/>
              </w:rPr>
              <w:t>（有</w:t>
            </w:r>
            <w:r>
              <w:rPr>
                <w:rFonts w:ascii="仿宋" w:hAnsi="仿宋" w:eastAsia="仿宋"/>
                <w:sz w:val="18"/>
                <w:szCs w:val="18"/>
              </w:rPr>
              <w:t>3</w:t>
            </w:r>
            <w:r>
              <w:rPr>
                <w:rFonts w:hint="eastAsia" w:ascii="仿宋" w:hAnsi="仿宋" w:eastAsia="仿宋"/>
                <w:sz w:val="18"/>
                <w:szCs w:val="18"/>
              </w:rPr>
              <w:t>个得</w:t>
            </w:r>
            <w:r>
              <w:rPr>
                <w:rFonts w:ascii="仿宋" w:hAnsi="仿宋" w:eastAsia="仿宋"/>
                <w:sz w:val="18"/>
                <w:szCs w:val="18"/>
              </w:rPr>
              <w:t>0</w:t>
            </w:r>
            <w:r>
              <w:rPr>
                <w:rFonts w:hint="eastAsia" w:ascii="仿宋" w:hAnsi="仿宋" w:eastAsia="仿宋"/>
                <w:sz w:val="18"/>
                <w:szCs w:val="18"/>
              </w:rPr>
              <w:t>分，每增加一个业绩加1分，最多得</w:t>
            </w:r>
            <w:r>
              <w:rPr>
                <w:rFonts w:ascii="仿宋" w:hAnsi="仿宋" w:eastAsia="仿宋"/>
                <w:sz w:val="18"/>
                <w:szCs w:val="18"/>
              </w:rPr>
              <w:t>6</w:t>
            </w:r>
            <w:r>
              <w:rPr>
                <w:rFonts w:hint="eastAsia" w:ascii="仿宋" w:hAnsi="仿宋" w:eastAsia="仿宋"/>
                <w:sz w:val="18"/>
                <w:szCs w:val="18"/>
              </w:rPr>
              <w:t>分）</w:t>
            </w:r>
          </w:p>
        </w:tc>
        <w:tc>
          <w:tcPr>
            <w:tcW w:w="1036" w:type="dxa"/>
            <w:vAlign w:val="center"/>
          </w:tcPr>
          <w:p w14:paraId="60B89D3A">
            <w:pPr>
              <w:spacing w:line="380" w:lineRule="exact"/>
              <w:rPr>
                <w:rFonts w:ascii="仿宋" w:hAnsi="仿宋" w:eastAsia="仿宋"/>
              </w:rPr>
            </w:pPr>
            <w:r>
              <w:rPr>
                <w:rFonts w:hint="eastAsia" w:ascii="仿宋" w:hAnsi="仿宋" w:eastAsia="仿宋"/>
              </w:rPr>
              <w:t>0</w:t>
            </w:r>
            <w:r>
              <w:rPr>
                <w:rFonts w:ascii="仿宋" w:hAnsi="仿宋" w:eastAsia="仿宋"/>
              </w:rPr>
              <w:t>-6</w:t>
            </w:r>
            <w:r>
              <w:rPr>
                <w:rFonts w:hint="eastAsia" w:ascii="仿宋" w:hAnsi="仿宋" w:eastAsia="仿宋"/>
              </w:rPr>
              <w:t>分</w:t>
            </w:r>
          </w:p>
        </w:tc>
      </w:tr>
      <w:tr w14:paraId="470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756" w:type="dxa"/>
            <w:vMerge w:val="restart"/>
            <w:vAlign w:val="center"/>
          </w:tcPr>
          <w:p w14:paraId="4B2ED4EB">
            <w:pPr>
              <w:spacing w:line="240" w:lineRule="exact"/>
              <w:jc w:val="center"/>
              <w:rPr>
                <w:rFonts w:ascii="仿宋" w:hAnsi="仿宋" w:eastAsia="仿宋"/>
              </w:rPr>
            </w:pPr>
            <w:r>
              <w:rPr>
                <w:rFonts w:ascii="仿宋" w:hAnsi="仿宋" w:eastAsia="仿宋"/>
              </w:rPr>
              <w:t>4</w:t>
            </w:r>
          </w:p>
        </w:tc>
        <w:tc>
          <w:tcPr>
            <w:tcW w:w="2693" w:type="dxa"/>
            <w:vMerge w:val="restart"/>
            <w:vAlign w:val="center"/>
          </w:tcPr>
          <w:p w14:paraId="5EAB0759">
            <w:pPr>
              <w:spacing w:line="380" w:lineRule="exact"/>
              <w:ind w:firstLine="315" w:firstLineChars="150"/>
              <w:rPr>
                <w:rFonts w:ascii="仿宋" w:hAnsi="仿宋" w:eastAsia="仿宋"/>
              </w:rPr>
            </w:pPr>
            <w:r>
              <w:rPr>
                <w:rFonts w:hint="eastAsia" w:ascii="仿宋" w:hAnsi="仿宋" w:eastAsia="仿宋"/>
              </w:rPr>
              <w:t>维护实施计划编制</w:t>
            </w:r>
          </w:p>
        </w:tc>
        <w:tc>
          <w:tcPr>
            <w:tcW w:w="993" w:type="dxa"/>
            <w:vMerge w:val="restart"/>
            <w:vAlign w:val="center"/>
          </w:tcPr>
          <w:p w14:paraId="6245C236">
            <w:pPr>
              <w:spacing w:line="380" w:lineRule="exact"/>
              <w:jc w:val="center"/>
              <w:rPr>
                <w:rFonts w:ascii="仿宋" w:hAnsi="仿宋" w:eastAsia="仿宋"/>
              </w:rPr>
            </w:pPr>
            <w:r>
              <w:rPr>
                <w:rFonts w:ascii="仿宋" w:hAnsi="仿宋" w:eastAsia="仿宋"/>
              </w:rPr>
              <w:t>4</w:t>
            </w:r>
            <w:r>
              <w:rPr>
                <w:rFonts w:hint="eastAsia" w:ascii="仿宋" w:hAnsi="仿宋" w:eastAsia="仿宋"/>
              </w:rPr>
              <w:t>分</w:t>
            </w:r>
          </w:p>
        </w:tc>
        <w:tc>
          <w:tcPr>
            <w:tcW w:w="3685" w:type="dxa"/>
            <w:vAlign w:val="center"/>
          </w:tcPr>
          <w:p w14:paraId="29388C80">
            <w:pPr>
              <w:spacing w:line="240" w:lineRule="exact"/>
              <w:rPr>
                <w:rFonts w:ascii="仿宋" w:hAnsi="仿宋" w:eastAsia="仿宋"/>
                <w:sz w:val="20"/>
                <w:szCs w:val="18"/>
              </w:rPr>
            </w:pPr>
            <w:r>
              <w:rPr>
                <w:rFonts w:hint="eastAsia" w:ascii="仿宋" w:hAnsi="仿宋" w:eastAsia="仿宋"/>
                <w:sz w:val="20"/>
                <w:szCs w:val="18"/>
              </w:rPr>
              <w:t>针对本项目编制科学、详细、合理的实施计划得</w:t>
            </w:r>
            <w:r>
              <w:rPr>
                <w:rFonts w:ascii="仿宋" w:hAnsi="仿宋" w:eastAsia="仿宋"/>
                <w:sz w:val="20"/>
                <w:szCs w:val="18"/>
              </w:rPr>
              <w:t>4</w:t>
            </w:r>
            <w:r>
              <w:rPr>
                <w:rFonts w:hint="eastAsia" w:ascii="仿宋" w:hAnsi="仿宋" w:eastAsia="仿宋"/>
                <w:sz w:val="20"/>
                <w:szCs w:val="18"/>
              </w:rPr>
              <w:t>-</w:t>
            </w:r>
            <w:r>
              <w:rPr>
                <w:rFonts w:ascii="仿宋" w:hAnsi="仿宋" w:eastAsia="仿宋"/>
                <w:sz w:val="20"/>
                <w:szCs w:val="18"/>
              </w:rPr>
              <w:t>3</w:t>
            </w:r>
            <w:r>
              <w:rPr>
                <w:rFonts w:hint="eastAsia" w:ascii="仿宋" w:hAnsi="仿宋" w:eastAsia="仿宋"/>
                <w:sz w:val="20"/>
                <w:szCs w:val="18"/>
              </w:rPr>
              <w:t>分，一般得</w:t>
            </w:r>
            <w:r>
              <w:rPr>
                <w:rFonts w:ascii="仿宋" w:hAnsi="仿宋" w:eastAsia="仿宋"/>
                <w:sz w:val="20"/>
                <w:szCs w:val="18"/>
              </w:rPr>
              <w:t>2</w:t>
            </w:r>
            <w:r>
              <w:rPr>
                <w:rFonts w:hint="eastAsia" w:ascii="仿宋" w:hAnsi="仿宋" w:eastAsia="仿宋"/>
                <w:sz w:val="20"/>
                <w:szCs w:val="18"/>
              </w:rPr>
              <w:t>-</w:t>
            </w:r>
            <w:r>
              <w:rPr>
                <w:rFonts w:ascii="仿宋" w:hAnsi="仿宋" w:eastAsia="仿宋"/>
                <w:sz w:val="20"/>
                <w:szCs w:val="18"/>
              </w:rPr>
              <w:t>1</w:t>
            </w:r>
            <w:r>
              <w:rPr>
                <w:rFonts w:hint="eastAsia" w:ascii="仿宋" w:hAnsi="仿宋" w:eastAsia="仿宋"/>
                <w:sz w:val="20"/>
                <w:szCs w:val="18"/>
              </w:rPr>
              <w:t>分，编制计划不完善的得0分。</w:t>
            </w:r>
          </w:p>
        </w:tc>
        <w:tc>
          <w:tcPr>
            <w:tcW w:w="1036" w:type="dxa"/>
            <w:vAlign w:val="center"/>
          </w:tcPr>
          <w:p w14:paraId="7972E024">
            <w:pPr>
              <w:spacing w:line="380" w:lineRule="exact"/>
              <w:rPr>
                <w:rFonts w:ascii="仿宋" w:hAnsi="仿宋" w:eastAsia="仿宋"/>
              </w:rPr>
            </w:pPr>
            <w:r>
              <w:rPr>
                <w:rFonts w:hint="eastAsia" w:ascii="仿宋" w:hAnsi="仿宋" w:eastAsia="仿宋"/>
              </w:rPr>
              <w:t>0-</w:t>
            </w:r>
            <w:r>
              <w:rPr>
                <w:rFonts w:ascii="仿宋" w:hAnsi="仿宋" w:eastAsia="仿宋"/>
              </w:rPr>
              <w:t>4</w:t>
            </w:r>
            <w:r>
              <w:rPr>
                <w:rFonts w:hint="eastAsia" w:ascii="仿宋" w:hAnsi="仿宋" w:eastAsia="仿宋"/>
              </w:rPr>
              <w:t>分</w:t>
            </w:r>
          </w:p>
        </w:tc>
      </w:tr>
      <w:tr w14:paraId="0B4B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exact"/>
          <w:jc w:val="center"/>
        </w:trPr>
        <w:tc>
          <w:tcPr>
            <w:tcW w:w="756" w:type="dxa"/>
            <w:vAlign w:val="center"/>
          </w:tcPr>
          <w:p w14:paraId="741FE674">
            <w:pPr>
              <w:spacing w:line="240" w:lineRule="exact"/>
              <w:jc w:val="center"/>
              <w:rPr>
                <w:rFonts w:ascii="仿宋" w:hAnsi="仿宋" w:eastAsia="仿宋"/>
              </w:rPr>
            </w:pPr>
            <w:r>
              <w:rPr>
                <w:rFonts w:ascii="仿宋" w:hAnsi="仿宋" w:eastAsia="仿宋"/>
              </w:rPr>
              <w:t>5</w:t>
            </w:r>
          </w:p>
        </w:tc>
        <w:tc>
          <w:tcPr>
            <w:tcW w:w="2693" w:type="dxa"/>
            <w:vAlign w:val="center"/>
          </w:tcPr>
          <w:p w14:paraId="06D8DDB1">
            <w:pPr>
              <w:spacing w:line="380" w:lineRule="exact"/>
              <w:ind w:firstLine="420" w:firstLineChars="200"/>
              <w:rPr>
                <w:rFonts w:ascii="仿宋" w:hAnsi="仿宋" w:eastAsia="仿宋"/>
              </w:rPr>
            </w:pPr>
            <w:r>
              <w:rPr>
                <w:rFonts w:hint="eastAsia" w:ascii="仿宋" w:hAnsi="仿宋" w:eastAsia="仿宋"/>
              </w:rPr>
              <w:t>安全实施方案</w:t>
            </w:r>
          </w:p>
        </w:tc>
        <w:tc>
          <w:tcPr>
            <w:tcW w:w="993" w:type="dxa"/>
            <w:vAlign w:val="center"/>
          </w:tcPr>
          <w:p w14:paraId="48BD71FE">
            <w:pPr>
              <w:spacing w:line="380" w:lineRule="exact"/>
              <w:jc w:val="center"/>
              <w:rPr>
                <w:rFonts w:ascii="仿宋" w:hAnsi="仿宋" w:eastAsia="仿宋"/>
              </w:rPr>
            </w:pPr>
            <w:r>
              <w:rPr>
                <w:rFonts w:ascii="仿宋" w:hAnsi="仿宋" w:eastAsia="仿宋"/>
              </w:rPr>
              <w:t>4</w:t>
            </w:r>
            <w:r>
              <w:rPr>
                <w:rFonts w:hint="eastAsia" w:ascii="仿宋" w:hAnsi="仿宋" w:eastAsia="仿宋"/>
              </w:rPr>
              <w:t>分</w:t>
            </w:r>
          </w:p>
        </w:tc>
        <w:tc>
          <w:tcPr>
            <w:tcW w:w="3685" w:type="dxa"/>
            <w:vAlign w:val="center"/>
          </w:tcPr>
          <w:p w14:paraId="26CAFAF0">
            <w:pPr>
              <w:tabs>
                <w:tab w:val="left" w:pos="1177"/>
              </w:tabs>
              <w:spacing w:line="240" w:lineRule="exact"/>
              <w:rPr>
                <w:rFonts w:ascii="仿宋" w:hAnsi="仿宋" w:eastAsia="仿宋"/>
                <w:sz w:val="20"/>
                <w:szCs w:val="18"/>
              </w:rPr>
            </w:pPr>
            <w:r>
              <w:rPr>
                <w:rFonts w:hint="eastAsia" w:ascii="仿宋" w:hAnsi="仿宋" w:eastAsia="仿宋"/>
                <w:sz w:val="20"/>
                <w:szCs w:val="18"/>
              </w:rPr>
              <w:t>制定针对本项目实施中采取的安全措施，制定具体的安全作业流程，明确安全责任编制详细的得</w:t>
            </w:r>
            <w:r>
              <w:rPr>
                <w:rFonts w:ascii="仿宋" w:hAnsi="仿宋" w:eastAsia="仿宋"/>
                <w:sz w:val="20"/>
                <w:szCs w:val="18"/>
              </w:rPr>
              <w:t>4-3</w:t>
            </w:r>
            <w:r>
              <w:rPr>
                <w:rFonts w:hint="eastAsia" w:ascii="仿宋" w:hAnsi="仿宋" w:eastAsia="仿宋"/>
                <w:sz w:val="20"/>
                <w:szCs w:val="18"/>
              </w:rPr>
              <w:t>分，一般得</w:t>
            </w:r>
            <w:r>
              <w:rPr>
                <w:rFonts w:ascii="仿宋" w:hAnsi="仿宋" w:eastAsia="仿宋"/>
                <w:sz w:val="20"/>
                <w:szCs w:val="18"/>
              </w:rPr>
              <w:t>2-1</w:t>
            </w:r>
            <w:r>
              <w:rPr>
                <w:rFonts w:hint="eastAsia" w:ascii="仿宋" w:hAnsi="仿宋" w:eastAsia="仿宋"/>
                <w:sz w:val="20"/>
                <w:szCs w:val="18"/>
              </w:rPr>
              <w:t>分，方案不完善得0分。</w:t>
            </w:r>
          </w:p>
        </w:tc>
        <w:tc>
          <w:tcPr>
            <w:tcW w:w="1036" w:type="dxa"/>
            <w:vAlign w:val="center"/>
          </w:tcPr>
          <w:p w14:paraId="54097E9C">
            <w:pPr>
              <w:spacing w:line="380" w:lineRule="exact"/>
              <w:rPr>
                <w:rFonts w:ascii="仿宋" w:hAnsi="仿宋" w:eastAsia="仿宋"/>
              </w:rPr>
            </w:pPr>
            <w:r>
              <w:rPr>
                <w:rFonts w:hint="eastAsia" w:ascii="仿宋" w:hAnsi="仿宋" w:eastAsia="仿宋"/>
              </w:rPr>
              <w:t>0-</w:t>
            </w:r>
            <w:r>
              <w:rPr>
                <w:rFonts w:ascii="仿宋" w:hAnsi="仿宋" w:eastAsia="仿宋"/>
              </w:rPr>
              <w:t>4</w:t>
            </w:r>
            <w:r>
              <w:rPr>
                <w:rFonts w:hint="eastAsia" w:ascii="仿宋" w:hAnsi="仿宋" w:eastAsia="仿宋"/>
              </w:rPr>
              <w:t>分</w:t>
            </w:r>
          </w:p>
        </w:tc>
      </w:tr>
      <w:tr w14:paraId="490D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756" w:type="dxa"/>
            <w:vAlign w:val="center"/>
          </w:tcPr>
          <w:p w14:paraId="5A4DB182">
            <w:pPr>
              <w:spacing w:line="240" w:lineRule="exact"/>
              <w:jc w:val="center"/>
              <w:rPr>
                <w:rFonts w:ascii="仿宋" w:hAnsi="仿宋" w:eastAsia="仿宋"/>
              </w:rPr>
            </w:pPr>
            <w:r>
              <w:rPr>
                <w:rFonts w:ascii="仿宋" w:hAnsi="仿宋" w:eastAsia="仿宋"/>
              </w:rPr>
              <w:t>6</w:t>
            </w:r>
          </w:p>
        </w:tc>
        <w:tc>
          <w:tcPr>
            <w:tcW w:w="2693" w:type="dxa"/>
            <w:vAlign w:val="center"/>
          </w:tcPr>
          <w:p w14:paraId="719FA031">
            <w:pPr>
              <w:spacing w:line="380" w:lineRule="exact"/>
              <w:ind w:firstLine="420" w:firstLineChars="200"/>
              <w:rPr>
                <w:rFonts w:ascii="仿宋" w:hAnsi="仿宋" w:eastAsia="仿宋"/>
              </w:rPr>
            </w:pPr>
            <w:r>
              <w:rPr>
                <w:rFonts w:hint="eastAsia" w:ascii="仿宋" w:hAnsi="仿宋" w:eastAsia="仿宋"/>
              </w:rPr>
              <w:t>项目经理部人员构成及主要专业技术人员资历</w:t>
            </w:r>
          </w:p>
        </w:tc>
        <w:tc>
          <w:tcPr>
            <w:tcW w:w="993" w:type="dxa"/>
            <w:vAlign w:val="center"/>
          </w:tcPr>
          <w:p w14:paraId="13D15B15">
            <w:pPr>
              <w:spacing w:line="380" w:lineRule="exact"/>
              <w:jc w:val="center"/>
              <w:rPr>
                <w:rFonts w:ascii="仿宋" w:hAnsi="仿宋" w:eastAsia="仿宋"/>
              </w:rPr>
            </w:pPr>
            <w:r>
              <w:rPr>
                <w:rFonts w:ascii="仿宋" w:hAnsi="仿宋" w:eastAsia="仿宋"/>
              </w:rPr>
              <w:t>4</w:t>
            </w:r>
            <w:r>
              <w:rPr>
                <w:rFonts w:hint="eastAsia" w:ascii="仿宋" w:hAnsi="仿宋" w:eastAsia="仿宋"/>
              </w:rPr>
              <w:t>分</w:t>
            </w:r>
          </w:p>
        </w:tc>
        <w:tc>
          <w:tcPr>
            <w:tcW w:w="3685" w:type="dxa"/>
            <w:vAlign w:val="center"/>
          </w:tcPr>
          <w:p w14:paraId="61A00207">
            <w:pPr>
              <w:spacing w:line="240" w:lineRule="exact"/>
              <w:rPr>
                <w:rFonts w:ascii="仿宋" w:hAnsi="仿宋" w:eastAsia="仿宋"/>
                <w:sz w:val="20"/>
                <w:szCs w:val="18"/>
              </w:rPr>
            </w:pPr>
            <w:r>
              <w:rPr>
                <w:rFonts w:hint="eastAsia" w:ascii="仿宋" w:hAnsi="仿宋" w:eastAsia="仿宋"/>
                <w:spacing w:val="-20"/>
                <w:sz w:val="20"/>
                <w:szCs w:val="18"/>
              </w:rPr>
              <w:t>人员配置科学完善、相应证书齐全得</w:t>
            </w:r>
            <w:r>
              <w:rPr>
                <w:rFonts w:ascii="仿宋" w:hAnsi="仿宋" w:eastAsia="仿宋"/>
                <w:spacing w:val="-20"/>
                <w:sz w:val="20"/>
                <w:szCs w:val="18"/>
              </w:rPr>
              <w:t>4-3</w:t>
            </w:r>
            <w:r>
              <w:rPr>
                <w:rFonts w:hint="eastAsia" w:ascii="仿宋" w:hAnsi="仿宋" w:eastAsia="仿宋"/>
                <w:spacing w:val="-20"/>
                <w:sz w:val="20"/>
                <w:szCs w:val="18"/>
              </w:rPr>
              <w:t>分，</w:t>
            </w:r>
            <w:r>
              <w:rPr>
                <w:rFonts w:hint="eastAsia" w:ascii="仿宋" w:hAnsi="仿宋" w:eastAsia="仿宋"/>
                <w:spacing w:val="-4"/>
                <w:sz w:val="20"/>
                <w:szCs w:val="18"/>
              </w:rPr>
              <w:t>人员配置完善、相应证书较齐全得</w:t>
            </w:r>
            <w:r>
              <w:rPr>
                <w:rFonts w:ascii="仿宋" w:hAnsi="仿宋" w:eastAsia="仿宋"/>
                <w:spacing w:val="-4"/>
                <w:sz w:val="20"/>
                <w:szCs w:val="18"/>
              </w:rPr>
              <w:t>2-1</w:t>
            </w:r>
            <w:r>
              <w:rPr>
                <w:rFonts w:hint="eastAsia" w:ascii="仿宋" w:hAnsi="仿宋" w:eastAsia="仿宋"/>
                <w:spacing w:val="-4"/>
                <w:sz w:val="20"/>
                <w:szCs w:val="18"/>
              </w:rPr>
              <w:t>分，</w:t>
            </w:r>
            <w:r>
              <w:rPr>
                <w:rFonts w:hint="eastAsia" w:ascii="仿宋" w:hAnsi="仿宋" w:eastAsia="仿宋"/>
                <w:sz w:val="20"/>
                <w:szCs w:val="18"/>
              </w:rPr>
              <w:t>人员配置及证书欠完整得0分。</w:t>
            </w:r>
          </w:p>
        </w:tc>
        <w:tc>
          <w:tcPr>
            <w:tcW w:w="1036" w:type="dxa"/>
            <w:tcBorders>
              <w:bottom w:val="single" w:color="auto" w:sz="4" w:space="0"/>
            </w:tcBorders>
            <w:vAlign w:val="center"/>
          </w:tcPr>
          <w:p w14:paraId="527AB8BC">
            <w:pPr>
              <w:spacing w:line="380" w:lineRule="exact"/>
              <w:rPr>
                <w:rFonts w:ascii="仿宋" w:hAnsi="仿宋" w:eastAsia="仿宋"/>
              </w:rPr>
            </w:pPr>
            <w:r>
              <w:rPr>
                <w:rFonts w:hint="eastAsia" w:ascii="仿宋" w:hAnsi="仿宋" w:eastAsia="仿宋"/>
              </w:rPr>
              <w:t>0-</w:t>
            </w:r>
            <w:r>
              <w:rPr>
                <w:rFonts w:ascii="仿宋" w:hAnsi="仿宋" w:eastAsia="仿宋"/>
              </w:rPr>
              <w:t>4</w:t>
            </w:r>
            <w:r>
              <w:rPr>
                <w:rFonts w:hint="eastAsia" w:ascii="仿宋" w:hAnsi="仿宋" w:eastAsia="仿宋"/>
              </w:rPr>
              <w:t>分</w:t>
            </w:r>
          </w:p>
        </w:tc>
      </w:tr>
    </w:tbl>
    <w:p w14:paraId="0C89DCB3">
      <w:pPr>
        <w:spacing w:line="240" w:lineRule="exact"/>
        <w:rPr>
          <w:rFonts w:ascii="仿宋" w:hAnsi="仿宋" w:eastAsia="仿宋"/>
          <w:sz w:val="28"/>
          <w:szCs w:val="28"/>
        </w:rPr>
      </w:pPr>
    </w:p>
    <w:p w14:paraId="0F8D6A3B">
      <w:pPr>
        <w:spacing w:line="100" w:lineRule="exact"/>
        <w:ind w:firstLine="560" w:firstLineChars="200"/>
        <w:rPr>
          <w:rFonts w:ascii="仿宋" w:hAnsi="仿宋" w:eastAsia="仿宋"/>
          <w:sz w:val="28"/>
          <w:szCs w:val="28"/>
        </w:rPr>
      </w:pPr>
    </w:p>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ascii="仿宋" w:hAnsi="仿宋" w:eastAsia="仿宋"/>
          <w:sz w:val="28"/>
          <w:szCs w:val="28"/>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投标保证金（人民币：伍仟元整     </w:t>
      </w: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33C750D3">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rPr>
        <w:t>2</w:t>
      </w:r>
      <w:r>
        <w:rPr>
          <w:rFonts w:hint="eastAsia" w:ascii="仿宋" w:hAnsi="仿宋" w:eastAsia="仿宋"/>
          <w:sz w:val="28"/>
          <w:szCs w:val="28"/>
          <w:lang w:val="en-US" w:eastAsia="zh-CN"/>
        </w:rPr>
        <w:t>9</w:t>
      </w:r>
      <w:r>
        <w:rPr>
          <w:rFonts w:ascii="仿宋" w:hAnsi="仿宋" w:eastAsia="仿宋"/>
          <w:sz w:val="28"/>
          <w:szCs w:val="28"/>
        </w:rPr>
        <w:t>日</w:t>
      </w:r>
      <w:r>
        <w:rPr>
          <w:rFonts w:hint="eastAsia" w:ascii="仿宋" w:hAnsi="仿宋" w:eastAsia="仿宋"/>
          <w:sz w:val="28"/>
          <w:szCs w:val="28"/>
        </w:rPr>
        <w:t>17:00时（北京时间）前到账，投标截止时间之后递交的投标保证金将被拒绝。公对公电汇转账方式缴纳（不接受现金及个人转账）。 最终以洛阳万基宏远电力有限公司财务所开收到凭证为准。</w:t>
      </w:r>
    </w:p>
    <w:p w14:paraId="00746B46">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188D19F2">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万基控股集团检修安装有限公司</w:t>
      </w:r>
    </w:p>
    <w:p w14:paraId="78290C63">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洛阳银行股份有限公司新安县支行</w:t>
      </w:r>
    </w:p>
    <w:p w14:paraId="59CD2A00">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hint="eastAsia" w:ascii="仿宋" w:hAnsi="仿宋" w:eastAsia="仿宋"/>
          <w:b/>
          <w:color w:val="FF0000"/>
          <w:sz w:val="28"/>
          <w:szCs w:val="28"/>
        </w:rPr>
        <w:t>676910090000001369</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0584A898">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37C90CA7">
      <w:pPr>
        <w:spacing w:line="460" w:lineRule="exact"/>
        <w:ind w:firstLine="480" w:firstLineChars="200"/>
        <w:rPr>
          <w:rFonts w:ascii="仿宋" w:hAnsi="仿宋" w:eastAsia="仿宋"/>
          <w:spacing w:val="-20"/>
          <w:sz w:val="28"/>
          <w:szCs w:val="28"/>
        </w:rPr>
      </w:pPr>
    </w:p>
    <w:p w14:paraId="2763FC13">
      <w:pPr>
        <w:tabs>
          <w:tab w:val="left" w:pos="3833"/>
        </w:tabs>
        <w:spacing w:line="460" w:lineRule="exact"/>
        <w:ind w:firstLine="480" w:firstLineChars="200"/>
        <w:rPr>
          <w:rFonts w:ascii="仿宋" w:hAnsi="仿宋" w:eastAsia="仿宋"/>
          <w:spacing w:val="-20"/>
          <w:sz w:val="28"/>
          <w:szCs w:val="28"/>
        </w:rPr>
      </w:pPr>
      <w:r>
        <w:rPr>
          <w:rFonts w:ascii="仿宋" w:hAnsi="仿宋" w:eastAsia="仿宋"/>
          <w:spacing w:val="-20"/>
          <w:sz w:val="28"/>
          <w:szCs w:val="28"/>
        </w:rPr>
        <w:tab/>
      </w:r>
    </w:p>
    <w:p w14:paraId="7376B214">
      <w:pPr>
        <w:spacing w:line="700" w:lineRule="exact"/>
        <w:rPr>
          <w:rFonts w:hint="eastAsia" w:ascii="仿宋" w:hAnsi="仿宋" w:eastAsia="仿宋"/>
          <w:sz w:val="28"/>
          <w:szCs w:val="24"/>
        </w:rPr>
      </w:pPr>
    </w:p>
    <w:p w14:paraId="158FAB51">
      <w:pPr>
        <w:spacing w:line="700" w:lineRule="exact"/>
        <w:rPr>
          <w:rFonts w:hint="eastAsia" w:ascii="仿宋" w:hAnsi="仿宋" w:eastAsia="仿宋"/>
          <w:sz w:val="28"/>
          <w:szCs w:val="24"/>
        </w:rPr>
      </w:pPr>
    </w:p>
    <w:p w14:paraId="3A82C67B">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51D92C6D">
      <w:pPr>
        <w:spacing w:line="480" w:lineRule="exact"/>
        <w:jc w:val="center"/>
        <w:rPr>
          <w:rFonts w:hint="eastAsia" w:ascii="宋体" w:hAnsi="宋体" w:cs="宋体"/>
          <w:b/>
          <w:bCs/>
          <w:sz w:val="44"/>
          <w:szCs w:val="44"/>
        </w:rPr>
      </w:pPr>
    </w:p>
    <w:p w14:paraId="3BC2C81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810DA93">
      <w:pPr>
        <w:spacing w:line="480" w:lineRule="exact"/>
        <w:ind w:firstLine="640" w:firstLineChars="200"/>
        <w:rPr>
          <w:rFonts w:ascii="仿宋" w:hAnsi="仿宋" w:eastAsia="仿宋"/>
          <w:sz w:val="32"/>
          <w:szCs w:val="32"/>
        </w:rPr>
      </w:pPr>
    </w:p>
    <w:p w14:paraId="54EE466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EE03C3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DAD81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BAEEF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3F29ED10">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54AD78C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02915D5">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0601838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0EB1241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F7CF51C">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28E9C72E">
      <w:pPr>
        <w:spacing w:line="420" w:lineRule="exact"/>
        <w:rPr>
          <w:rFonts w:ascii="仿宋" w:hAnsi="仿宋" w:eastAsia="仿宋"/>
          <w:sz w:val="32"/>
          <w:szCs w:val="32"/>
        </w:rPr>
      </w:pPr>
    </w:p>
    <w:p w14:paraId="272A06F8">
      <w:pPr>
        <w:spacing w:line="420" w:lineRule="exact"/>
        <w:ind w:firstLine="2240" w:firstLineChars="7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53335D9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0129F57F">
      <w:pPr>
        <w:spacing w:line="420" w:lineRule="exact"/>
        <w:ind w:firstLine="4800" w:firstLineChars="1500"/>
        <w:rPr>
          <w:rFonts w:hint="eastAsia" w:ascii="仿宋" w:hAnsi="仿宋" w:eastAsia="仿宋"/>
          <w:sz w:val="32"/>
          <w:szCs w:val="32"/>
        </w:rPr>
      </w:pPr>
      <w:r>
        <w:rPr>
          <w:rFonts w:hint="eastAsia" w:ascii="仿宋" w:hAnsi="仿宋" w:eastAsia="仿宋"/>
          <w:sz w:val="32"/>
          <w:szCs w:val="32"/>
        </w:rPr>
        <w:t>2026年    月    日</w:t>
      </w:r>
    </w:p>
    <w:p w14:paraId="1FAC1C7E">
      <w:pPr>
        <w:spacing w:line="520" w:lineRule="exact"/>
        <w:rPr>
          <w:rFonts w:hint="eastAsia" w:ascii="仿宋" w:hAnsi="仿宋" w:eastAsia="仿宋"/>
          <w:sz w:val="28"/>
          <w:szCs w:val="24"/>
        </w:rPr>
      </w:pPr>
    </w:p>
    <w:p w14:paraId="7D3D56C2">
      <w:pPr>
        <w:spacing w:line="520" w:lineRule="exact"/>
        <w:rPr>
          <w:rFonts w:ascii="仿宋" w:hAnsi="仿宋" w:eastAsia="仿宋"/>
          <w:sz w:val="28"/>
          <w:szCs w:val="24"/>
        </w:rPr>
      </w:pPr>
    </w:p>
    <w:p w14:paraId="3D2660BC">
      <w:pPr>
        <w:spacing w:line="500" w:lineRule="exact"/>
        <w:rPr>
          <w:rFonts w:ascii="仿宋" w:hAnsi="仿宋" w:eastAsia="仿宋"/>
          <w:sz w:val="28"/>
          <w:szCs w:val="28"/>
        </w:rPr>
      </w:pPr>
    </w:p>
    <w:p w14:paraId="0459EA90">
      <w:pPr>
        <w:spacing w:line="500" w:lineRule="exact"/>
        <w:rPr>
          <w:rFonts w:ascii="仿宋" w:hAnsi="仿宋" w:eastAsia="仿宋"/>
          <w:sz w:val="28"/>
          <w:szCs w:val="28"/>
        </w:rPr>
      </w:pP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4332B76B">
      <w:pPr>
        <w:pStyle w:val="45"/>
        <w:spacing w:line="240" w:lineRule="auto"/>
        <w:jc w:val="both"/>
        <w:rPr>
          <w:rFonts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4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45"/>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38822300">
      <w:pPr>
        <w:spacing w:line="360" w:lineRule="auto"/>
      </w:pPr>
    </w:p>
    <w:p w14:paraId="109629BB">
      <w:pPr>
        <w:spacing w:line="360" w:lineRule="auto"/>
      </w:pPr>
    </w:p>
    <w:p w14:paraId="7C38A2F2">
      <w:pPr>
        <w:spacing w:line="360" w:lineRule="auto"/>
      </w:pPr>
    </w:p>
    <w:p w14:paraId="7F9693DF">
      <w:pPr>
        <w:spacing w:line="360" w:lineRule="auto"/>
      </w:pPr>
    </w:p>
    <w:p w14:paraId="6066DE40">
      <w:pPr>
        <w:spacing w:line="360" w:lineRule="auto"/>
      </w:pPr>
    </w:p>
    <w:p w14:paraId="0DE3A54B">
      <w:pPr>
        <w:spacing w:line="360" w:lineRule="auto"/>
      </w:pP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73E36EF8">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53B2207">
      <w:pPr>
        <w:jc w:val="center"/>
        <w:rPr>
          <w:rFonts w:ascii="仿宋_GB2312" w:hAnsi="仿宋" w:eastAsia="仿宋_GB2312"/>
          <w:b/>
          <w:color w:val="000000"/>
          <w:sz w:val="84"/>
          <w:szCs w:val="84"/>
        </w:rPr>
      </w:pPr>
    </w:p>
    <w:p w14:paraId="28955B35">
      <w:pPr>
        <w:spacing w:line="380" w:lineRule="atLeast"/>
        <w:ind w:firstLine="3242" w:firstLineChars="1544"/>
        <w:rPr>
          <w:rFonts w:ascii="仿宋_GB2312" w:hAnsi="仿宋" w:eastAsia="仿宋_GB2312"/>
          <w:color w:val="000000"/>
          <w:szCs w:val="28"/>
        </w:rPr>
      </w:pPr>
    </w:p>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3E4B7CDA">
      <w:pPr>
        <w:tabs>
          <w:tab w:val="left" w:pos="8280"/>
        </w:tabs>
        <w:spacing w:line="500" w:lineRule="exact"/>
        <w:ind w:firstLine="560" w:firstLineChars="200"/>
        <w:rPr>
          <w:rFonts w:ascii="仿宋_GB2312" w:hAnsi="仿宋" w:eastAsia="仿宋_GB2312"/>
          <w:bCs/>
          <w:color w:val="000000"/>
          <w:sz w:val="28"/>
          <w:szCs w:val="28"/>
        </w:rPr>
      </w:pPr>
    </w:p>
    <w:p w14:paraId="7D130A48">
      <w:pPr>
        <w:tabs>
          <w:tab w:val="left" w:pos="8280"/>
        </w:tabs>
        <w:spacing w:line="500" w:lineRule="exact"/>
        <w:ind w:firstLine="560" w:firstLineChars="200"/>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4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4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269D7AA3">
      <w:pPr>
        <w:spacing w:line="460" w:lineRule="exact"/>
        <w:rPr>
          <w:rFonts w:ascii="仿宋" w:hAnsi="仿宋" w:eastAsia="仿宋"/>
          <w:sz w:val="28"/>
          <w:szCs w:val="28"/>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p>
    <w:p w14:paraId="3E0FD343">
      <w:pPr>
        <w:spacing w:line="360" w:lineRule="auto"/>
        <w:jc w:val="center"/>
        <w:rPr>
          <w:snapToGrid w:val="0"/>
          <w:spacing w:val="14"/>
        </w:rPr>
      </w:pPr>
    </w:p>
    <w:p w14:paraId="41B74777">
      <w:pPr>
        <w:pStyle w:val="29"/>
        <w:ind w:firstLine="0" w:firstLineChars="0"/>
        <w:rPr>
          <w:rFonts w:ascii="Arial" w:hAnsi="Arial"/>
          <w:b/>
          <w:bCs/>
        </w:rPr>
      </w:pPr>
    </w:p>
    <w:p w14:paraId="0F54A346">
      <w:pPr>
        <w:pStyle w:val="29"/>
        <w:ind w:firstLine="0" w:firstLineChars="0"/>
        <w:rPr>
          <w:rFonts w:ascii="Arial" w:hAnsi="Arial"/>
          <w:b/>
          <w:bCs/>
        </w:rPr>
      </w:pPr>
    </w:p>
    <w:p w14:paraId="626C4EA3">
      <w:pPr>
        <w:pStyle w:val="29"/>
        <w:ind w:firstLine="0" w:firstLineChars="0"/>
        <w:rPr>
          <w:rFonts w:ascii="Arial" w:hAnsi="Arial"/>
          <w:b/>
          <w:bCs/>
        </w:rPr>
      </w:pPr>
    </w:p>
    <w:p w14:paraId="6AB4CE20">
      <w:pPr>
        <w:pStyle w:val="29"/>
        <w:ind w:firstLine="0" w:firstLineChars="0"/>
        <w:rPr>
          <w:rFonts w:ascii="Arial" w:hAnsi="Arial"/>
          <w:b/>
          <w:bCs/>
        </w:rPr>
      </w:pPr>
    </w:p>
    <w:p w14:paraId="1A1378F1">
      <w:pPr>
        <w:jc w:val="center"/>
        <w:rPr>
          <w:rFonts w:hint="eastAsia" w:ascii="宋体" w:hAnsi="宋体" w:eastAsia="宋体" w:cs="宋体"/>
          <w:b/>
          <w:bCs/>
          <w:sz w:val="44"/>
          <w:szCs w:val="44"/>
        </w:rPr>
      </w:pPr>
      <w:r>
        <w:rPr>
          <w:rFonts w:hint="eastAsia" w:ascii="宋体" w:hAnsi="宋体" w:eastAsia="宋体" w:cs="宋体"/>
          <w:b/>
          <w:bCs/>
          <w:sz w:val="44"/>
          <w:szCs w:val="44"/>
        </w:rPr>
        <w:t>2026年度防雷检测服务技术要求书</w:t>
      </w:r>
    </w:p>
    <w:p w14:paraId="07184CD9">
      <w:pPr>
        <w:jc w:val="center"/>
        <w:rPr>
          <w:rFonts w:hint="eastAsia" w:ascii="宋体" w:hAnsi="宋体" w:eastAsia="宋体" w:cs="宋体"/>
          <w:b/>
          <w:bCs/>
          <w:sz w:val="44"/>
          <w:szCs w:val="44"/>
        </w:rPr>
      </w:pPr>
    </w:p>
    <w:p w14:paraId="10D8D547">
      <w:pPr>
        <w:rPr>
          <w:rFonts w:hint="eastAsia" w:ascii="仿宋" w:hAnsi="仿宋" w:eastAsia="仿宋" w:cs="仿宋"/>
          <w:sz w:val="32"/>
          <w:szCs w:val="32"/>
        </w:rPr>
      </w:pPr>
      <w:r>
        <w:rPr>
          <w:rFonts w:hint="eastAsia" w:ascii="仿宋" w:hAnsi="仿宋" w:eastAsia="仿宋" w:cs="仿宋"/>
          <w:sz w:val="32"/>
          <w:szCs w:val="32"/>
        </w:rPr>
        <w:t>一、总则</w:t>
      </w:r>
    </w:p>
    <w:p w14:paraId="1852C964">
      <w:pPr>
        <w:ind w:firstLine="640" w:firstLineChars="200"/>
        <w:rPr>
          <w:rFonts w:hint="eastAsia" w:ascii="仿宋" w:hAnsi="仿宋" w:eastAsia="仿宋" w:cs="仿宋"/>
          <w:sz w:val="32"/>
          <w:szCs w:val="32"/>
        </w:rPr>
      </w:pPr>
      <w:r>
        <w:rPr>
          <w:rFonts w:hint="eastAsia" w:ascii="仿宋" w:hAnsi="仿宋" w:eastAsia="仿宋" w:cs="仿宋"/>
          <w:sz w:val="32"/>
          <w:szCs w:val="32"/>
        </w:rPr>
        <w:t>本技术要求旨在明确集团公司2026年度防雷检测服务的技术标准、作业规范及成果要求。检测工作需严格遵守国家及行业相关标准，确保检测数据准确、结论公正，有效排查防雷安全隐患，保障油库、加油站及办公生产场所的防雷安全。</w:t>
      </w:r>
    </w:p>
    <w:p w14:paraId="5A825F5A">
      <w:pPr>
        <w:rPr>
          <w:rFonts w:hint="eastAsia" w:ascii="仿宋" w:hAnsi="仿宋" w:eastAsia="仿宋" w:cs="仿宋"/>
          <w:sz w:val="32"/>
          <w:szCs w:val="32"/>
        </w:rPr>
      </w:pPr>
      <w:r>
        <w:rPr>
          <w:rFonts w:hint="eastAsia" w:ascii="仿宋" w:hAnsi="仿宋" w:eastAsia="仿宋" w:cs="仿宋"/>
          <w:sz w:val="32"/>
          <w:szCs w:val="32"/>
        </w:rPr>
        <w:t>二、检测依据</w:t>
      </w:r>
    </w:p>
    <w:p w14:paraId="6B6576A8">
      <w:pPr>
        <w:ind w:firstLine="640" w:firstLineChars="200"/>
        <w:rPr>
          <w:rFonts w:hint="eastAsia" w:ascii="仿宋" w:hAnsi="仿宋" w:eastAsia="仿宋" w:cs="仿宋"/>
          <w:sz w:val="32"/>
          <w:szCs w:val="32"/>
        </w:rPr>
      </w:pPr>
      <w:r>
        <w:rPr>
          <w:rFonts w:hint="eastAsia" w:ascii="仿宋" w:hAnsi="仿宋" w:eastAsia="仿宋" w:cs="仿宋"/>
          <w:sz w:val="32"/>
          <w:szCs w:val="32"/>
        </w:rPr>
        <w:t>检测工作必须执行（但不限于）以下标准及规范的最新版本：</w:t>
      </w:r>
    </w:p>
    <w:p w14:paraId="6BC0EC1B">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《建筑物防雷设计规范》（GB 50057-2010）；</w:t>
      </w:r>
    </w:p>
    <w:p w14:paraId="03E1CC80">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《建筑物防雷装置检测技术规范》（GB/T 21431-20</w:t>
      </w:r>
      <w:r>
        <w:rPr>
          <w:rFonts w:hint="eastAsia" w:ascii="仿宋" w:hAnsi="仿宋" w:eastAsia="仿宋" w:cs="仿宋"/>
          <w:sz w:val="32"/>
          <w:szCs w:val="32"/>
          <w:lang w:val="en-US" w:eastAsia="zh-CN"/>
        </w:rPr>
        <w:t>23</w:t>
      </w:r>
      <w:r>
        <w:rPr>
          <w:rFonts w:hint="eastAsia" w:ascii="仿宋" w:hAnsi="仿宋" w:eastAsia="仿宋" w:cs="仿宋"/>
          <w:sz w:val="32"/>
          <w:szCs w:val="32"/>
        </w:rPr>
        <w:t>）；</w:t>
      </w:r>
    </w:p>
    <w:p w14:paraId="6A44266F">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《爆炸危险环境电力装置设计规范》（GB 50058-2014）；</w:t>
      </w:r>
    </w:p>
    <w:p w14:paraId="6E98238F">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地方气象主管机构发布的防雷减灾管理办法及相关技术规定。</w:t>
      </w:r>
    </w:p>
    <w:p w14:paraId="631EB5CD">
      <w:pPr>
        <w:rPr>
          <w:rFonts w:hint="eastAsia" w:ascii="仿宋" w:hAnsi="仿宋" w:eastAsia="仿宋" w:cs="仿宋"/>
          <w:sz w:val="32"/>
          <w:szCs w:val="32"/>
        </w:rPr>
      </w:pPr>
      <w:r>
        <w:rPr>
          <w:rFonts w:hint="eastAsia" w:ascii="仿宋" w:hAnsi="仿宋" w:eastAsia="仿宋" w:cs="仿宋"/>
          <w:sz w:val="32"/>
          <w:szCs w:val="32"/>
        </w:rPr>
        <w:t>三、检测范围与对象</w:t>
      </w:r>
    </w:p>
    <w:p w14:paraId="116759EF">
      <w:pPr>
        <w:rPr>
          <w:rFonts w:hint="eastAsia" w:ascii="仿宋" w:hAnsi="仿宋" w:eastAsia="仿宋" w:cs="仿宋"/>
          <w:sz w:val="32"/>
          <w:szCs w:val="32"/>
        </w:rPr>
      </w:pPr>
      <w:r>
        <w:rPr>
          <w:rFonts w:hint="eastAsia" w:ascii="仿宋" w:hAnsi="仿宋" w:eastAsia="仿宋" w:cs="仿宋"/>
          <w:sz w:val="32"/>
          <w:szCs w:val="32"/>
        </w:rPr>
        <w:t>（一）检测区域</w:t>
      </w:r>
    </w:p>
    <w:p w14:paraId="28849D20">
      <w:pPr>
        <w:ind w:firstLine="640" w:firstLineChars="200"/>
        <w:rPr>
          <w:rFonts w:hint="eastAsia" w:ascii="仿宋" w:hAnsi="仿宋" w:eastAsia="仿宋" w:cs="仿宋"/>
          <w:sz w:val="32"/>
          <w:szCs w:val="32"/>
        </w:rPr>
      </w:pPr>
      <w:r>
        <w:rPr>
          <w:rFonts w:hint="eastAsia" w:ascii="仿宋" w:hAnsi="仿宋" w:eastAsia="仿宋" w:cs="仿宋"/>
          <w:sz w:val="32"/>
          <w:szCs w:val="32"/>
        </w:rPr>
        <w:t>集团公司所属各油库、加油站、办公大楼、</w:t>
      </w:r>
      <w:r>
        <w:rPr>
          <w:rFonts w:hint="eastAsia" w:ascii="仿宋" w:hAnsi="仿宋" w:eastAsia="仿宋" w:cs="仿宋"/>
          <w:sz w:val="32"/>
          <w:szCs w:val="32"/>
          <w:lang w:val="en-US" w:eastAsia="zh-CN"/>
        </w:rPr>
        <w:t>生活小区、</w:t>
      </w:r>
      <w:r>
        <w:rPr>
          <w:rFonts w:hint="eastAsia" w:ascii="仿宋" w:hAnsi="仿宋" w:eastAsia="仿宋" w:cs="仿宋"/>
          <w:sz w:val="32"/>
          <w:szCs w:val="32"/>
        </w:rPr>
        <w:t>生产车间及附属设施</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14:paraId="20262F89">
      <w:pPr>
        <w:rPr>
          <w:rFonts w:hint="eastAsia" w:ascii="仿宋" w:hAnsi="仿宋" w:eastAsia="仿宋" w:cs="仿宋"/>
          <w:sz w:val="32"/>
          <w:szCs w:val="32"/>
        </w:rPr>
      </w:pPr>
      <w:r>
        <w:rPr>
          <w:rFonts w:hint="eastAsia" w:ascii="仿宋" w:hAnsi="仿宋" w:eastAsia="仿宋" w:cs="仿宋"/>
          <w:sz w:val="32"/>
          <w:szCs w:val="32"/>
        </w:rPr>
        <w:t>（二）具体检测对象</w:t>
      </w:r>
    </w:p>
    <w:p w14:paraId="7DC4F38D">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油库/加油站区域：</w:t>
      </w:r>
    </w:p>
    <w:p w14:paraId="3BFDEAC4">
      <w:pPr>
        <w:ind w:firstLine="640" w:firstLineChars="200"/>
        <w:rPr>
          <w:rFonts w:hint="eastAsia" w:ascii="仿宋" w:hAnsi="仿宋" w:eastAsia="仿宋" w:cs="仿宋"/>
          <w:sz w:val="32"/>
          <w:szCs w:val="32"/>
        </w:rPr>
      </w:pPr>
      <w:r>
        <w:rPr>
          <w:rFonts w:hint="eastAsia" w:ascii="仿宋" w:hAnsi="仿宋" w:eastAsia="仿宋" w:cs="仿宋"/>
          <w:sz w:val="32"/>
          <w:szCs w:val="32"/>
        </w:rPr>
        <w:t>储油罐区：储罐本体、呼吸阀、阻火器、量油孔、静电接地及防雷接地装置。</w:t>
      </w:r>
    </w:p>
    <w:p w14:paraId="7B0B5135">
      <w:pPr>
        <w:ind w:firstLine="640" w:firstLineChars="200"/>
        <w:rPr>
          <w:rFonts w:hint="eastAsia" w:ascii="仿宋" w:hAnsi="仿宋" w:eastAsia="仿宋" w:cs="仿宋"/>
          <w:sz w:val="32"/>
          <w:szCs w:val="32"/>
        </w:rPr>
      </w:pPr>
      <w:r>
        <w:rPr>
          <w:rFonts w:hint="eastAsia" w:ascii="仿宋" w:hAnsi="仿宋" w:eastAsia="仿宋" w:cs="仿宋"/>
          <w:sz w:val="32"/>
          <w:szCs w:val="32"/>
        </w:rPr>
        <w:t>装卸区：装卸油台、鹤管、静电接地报警器、人体静电释放装置。</w:t>
      </w:r>
    </w:p>
    <w:p w14:paraId="6673E398">
      <w:pPr>
        <w:ind w:firstLine="640" w:firstLineChars="200"/>
        <w:rPr>
          <w:rFonts w:hint="eastAsia" w:ascii="仿宋" w:hAnsi="仿宋" w:eastAsia="仿宋" w:cs="仿宋"/>
          <w:sz w:val="32"/>
          <w:szCs w:val="32"/>
        </w:rPr>
      </w:pPr>
      <w:r>
        <w:rPr>
          <w:rFonts w:hint="eastAsia" w:ascii="仿宋" w:hAnsi="仿宋" w:eastAsia="仿宋" w:cs="仿宋"/>
          <w:sz w:val="32"/>
          <w:szCs w:val="32"/>
        </w:rPr>
        <w:t>加油区：加油机内部电路、油枪静电接地、加油岛防雷接地。</w:t>
      </w:r>
    </w:p>
    <w:p w14:paraId="45580837">
      <w:pPr>
        <w:ind w:firstLine="640" w:firstLineChars="200"/>
        <w:rPr>
          <w:rFonts w:hint="eastAsia" w:ascii="仿宋" w:hAnsi="仿宋" w:eastAsia="仿宋" w:cs="仿宋"/>
          <w:sz w:val="32"/>
          <w:szCs w:val="32"/>
        </w:rPr>
      </w:pPr>
      <w:r>
        <w:rPr>
          <w:rFonts w:hint="eastAsia" w:ascii="仿宋" w:hAnsi="仿宋" w:eastAsia="仿宋" w:cs="仿宋"/>
          <w:sz w:val="32"/>
          <w:szCs w:val="32"/>
        </w:rPr>
        <w:t>站房及罩棚：建筑物防雷装置、配电系统接地。</w:t>
      </w:r>
    </w:p>
    <w:p w14:paraId="1F4E3C9E">
      <w:pPr>
        <w:ind w:firstLine="640" w:firstLineChars="200"/>
        <w:rPr>
          <w:rFonts w:hint="eastAsia" w:ascii="仿宋" w:hAnsi="仿宋" w:eastAsia="仿宋" w:cs="仿宋"/>
          <w:sz w:val="32"/>
          <w:szCs w:val="32"/>
        </w:rPr>
      </w:pPr>
      <w:r>
        <w:rPr>
          <w:rFonts w:hint="eastAsia" w:ascii="仿宋" w:hAnsi="仿宋" w:eastAsia="仿宋" w:cs="仿宋"/>
          <w:sz w:val="32"/>
          <w:szCs w:val="32"/>
        </w:rPr>
        <w:t>工艺管道：进出站管道的接地、跨接状况。</w:t>
      </w:r>
    </w:p>
    <w:p w14:paraId="146C630E">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办公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生活</w:t>
      </w:r>
      <w:r>
        <w:rPr>
          <w:rFonts w:hint="eastAsia" w:ascii="仿宋" w:hAnsi="仿宋" w:eastAsia="仿宋" w:cs="仿宋"/>
          <w:sz w:val="32"/>
          <w:szCs w:val="32"/>
        </w:rPr>
        <w:t>生产建筑区域：</w:t>
      </w:r>
    </w:p>
    <w:p w14:paraId="35F91D49">
      <w:pPr>
        <w:ind w:firstLine="640" w:firstLineChars="200"/>
        <w:rPr>
          <w:rFonts w:hint="eastAsia" w:ascii="仿宋" w:hAnsi="仿宋" w:eastAsia="仿宋" w:cs="仿宋"/>
          <w:sz w:val="32"/>
          <w:szCs w:val="32"/>
        </w:rPr>
      </w:pPr>
      <w:r>
        <w:rPr>
          <w:rFonts w:hint="eastAsia" w:ascii="仿宋" w:hAnsi="仿宋" w:eastAsia="仿宋" w:cs="仿宋"/>
          <w:sz w:val="32"/>
          <w:szCs w:val="32"/>
        </w:rPr>
        <w:t>接闪器（避雷针、带、网）、引下线、接地装置。</w:t>
      </w:r>
    </w:p>
    <w:p w14:paraId="4826E45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低压配电系统电涌保护器（SPD）及等电位连接情况</w:t>
      </w:r>
    </w:p>
    <w:p w14:paraId="1719F38C">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其他：</w:t>
      </w:r>
      <w:r>
        <w:rPr>
          <w:rFonts w:hint="eastAsia" w:ascii="仿宋" w:hAnsi="仿宋" w:eastAsia="仿宋" w:cs="仿宋"/>
          <w:sz w:val="32"/>
          <w:szCs w:val="32"/>
          <w:lang w:val="en-US" w:eastAsia="zh-CN"/>
        </w:rPr>
        <w:t>地磅房、</w:t>
      </w:r>
      <w:r>
        <w:rPr>
          <w:rFonts w:hint="eastAsia" w:ascii="仿宋" w:hAnsi="仿宋" w:eastAsia="仿宋" w:cs="仿宋"/>
          <w:sz w:val="32"/>
          <w:szCs w:val="32"/>
        </w:rPr>
        <w:t>电梯等金属构件的接地情况。</w:t>
      </w:r>
    </w:p>
    <w:p w14:paraId="5E1C97B9">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）检测频次</w:t>
      </w:r>
    </w:p>
    <w:p w14:paraId="1C27DCE0">
      <w:pPr>
        <w:ind w:firstLine="640" w:firstLineChars="200"/>
        <w:rPr>
          <w:rFonts w:hint="eastAsia" w:ascii="仿宋" w:hAnsi="仿宋" w:eastAsia="仿宋" w:cs="仿宋"/>
          <w:sz w:val="32"/>
          <w:szCs w:val="32"/>
        </w:rPr>
      </w:pPr>
      <w:r>
        <w:rPr>
          <w:rFonts w:hint="eastAsia" w:ascii="仿宋" w:hAnsi="仿宋" w:eastAsia="仿宋" w:cs="仿宋"/>
          <w:sz w:val="32"/>
          <w:szCs w:val="32"/>
        </w:rPr>
        <w:t>根据《防雷减灾管理办法》及地方规定，结合集团公司实际，本次招标服务期内的检测频次要求如下：</w:t>
      </w:r>
    </w:p>
    <w:p w14:paraId="1627938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油库、加油站等易燃易爆场所：实行半年一检。服务期内需完成2次全覆盖检测。</w:t>
      </w:r>
    </w:p>
    <w:p w14:paraId="3208C067">
      <w:pPr>
        <w:ind w:firstLine="640" w:firstLineChars="200"/>
        <w:rPr>
          <w:rFonts w:hint="eastAsia" w:ascii="仿宋" w:hAnsi="仿宋" w:eastAsia="仿宋" w:cs="仿宋"/>
          <w:sz w:val="32"/>
          <w:szCs w:val="32"/>
        </w:rPr>
      </w:pPr>
      <w:r>
        <w:rPr>
          <w:rFonts w:hint="eastAsia" w:ascii="仿宋" w:hAnsi="仿宋" w:eastAsia="仿宋" w:cs="仿宋"/>
          <w:sz w:val="32"/>
          <w:szCs w:val="32"/>
        </w:rPr>
        <w:t>第一次检测：结合春季预防性试验进行，确保雷雨季节前完成。</w:t>
      </w:r>
    </w:p>
    <w:p w14:paraId="4E8FFAB3">
      <w:pPr>
        <w:ind w:firstLine="640" w:firstLineChars="200"/>
        <w:rPr>
          <w:rFonts w:hint="eastAsia" w:ascii="仿宋" w:hAnsi="仿宋" w:eastAsia="仿宋" w:cs="仿宋"/>
          <w:sz w:val="32"/>
          <w:szCs w:val="32"/>
        </w:rPr>
      </w:pPr>
      <w:r>
        <w:rPr>
          <w:rFonts w:hint="eastAsia" w:ascii="仿宋" w:hAnsi="仿宋" w:eastAsia="仿宋" w:cs="仿宋"/>
          <w:sz w:val="32"/>
          <w:szCs w:val="32"/>
        </w:rPr>
        <w:t>第二次检测：安排在秋季进行，确保全年防雷安全无死角。</w:t>
      </w:r>
    </w:p>
    <w:p w14:paraId="39C44A3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办公、</w:t>
      </w:r>
      <w:r>
        <w:rPr>
          <w:rFonts w:hint="eastAsia" w:ascii="仿宋" w:hAnsi="仿宋" w:eastAsia="仿宋" w:cs="仿宋"/>
          <w:sz w:val="32"/>
          <w:szCs w:val="32"/>
          <w:lang w:val="en-US" w:eastAsia="zh-CN"/>
        </w:rPr>
        <w:t>生活</w:t>
      </w:r>
      <w:r>
        <w:rPr>
          <w:rFonts w:hint="eastAsia" w:ascii="仿宋" w:hAnsi="仿宋" w:eastAsia="仿宋" w:cs="仿宋"/>
          <w:sz w:val="32"/>
          <w:szCs w:val="32"/>
        </w:rPr>
        <w:t>生产建筑及其他附属设施：实行一年一检。服务期内完成1次全覆盖检测，时间安排在春季预防性试验期间同步进行。</w:t>
      </w:r>
    </w:p>
    <w:p w14:paraId="7606B75D">
      <w:pPr>
        <w:rPr>
          <w:rFonts w:hint="eastAsia" w:ascii="仿宋" w:hAnsi="仿宋" w:eastAsia="仿宋" w:cs="仿宋"/>
          <w:sz w:val="32"/>
          <w:szCs w:val="32"/>
        </w:rPr>
      </w:pPr>
      <w:r>
        <w:rPr>
          <w:rFonts w:hint="eastAsia" w:ascii="仿宋" w:hAnsi="仿宋" w:eastAsia="仿宋" w:cs="仿宋"/>
          <w:sz w:val="32"/>
          <w:szCs w:val="32"/>
        </w:rPr>
        <w:t>四、检测项目及技术指标</w:t>
      </w:r>
    </w:p>
    <w:p w14:paraId="071794CB">
      <w:pPr>
        <w:rPr>
          <w:rFonts w:hint="eastAsia" w:ascii="仿宋" w:hAnsi="仿宋" w:eastAsia="仿宋" w:cs="仿宋"/>
          <w:sz w:val="32"/>
          <w:szCs w:val="32"/>
        </w:rPr>
      </w:pPr>
      <w:r>
        <w:rPr>
          <w:rFonts w:hint="eastAsia" w:ascii="仿宋" w:hAnsi="仿宋" w:eastAsia="仿宋" w:cs="仿宋"/>
          <w:sz w:val="32"/>
          <w:szCs w:val="32"/>
        </w:rPr>
        <w:t>（一）接闪器与引下线</w:t>
      </w:r>
    </w:p>
    <w:p w14:paraId="20ADC6F7">
      <w:pPr>
        <w:ind w:firstLine="640" w:firstLineChars="200"/>
        <w:rPr>
          <w:rFonts w:hint="eastAsia" w:ascii="仿宋" w:hAnsi="仿宋" w:eastAsia="仿宋" w:cs="仿宋"/>
          <w:sz w:val="32"/>
          <w:szCs w:val="32"/>
        </w:rPr>
      </w:pPr>
      <w:r>
        <w:rPr>
          <w:rFonts w:hint="eastAsia" w:ascii="仿宋" w:hAnsi="仿宋" w:eastAsia="仿宋" w:cs="仿宋"/>
          <w:sz w:val="32"/>
          <w:szCs w:val="32"/>
        </w:rPr>
        <w:t>检查接闪器材质、规格、焊接工艺及锈蚀情况；检查引下线敷设方式、间距及连接可靠性；测量接闪器网格尺寸是否符合规范要求。</w:t>
      </w:r>
    </w:p>
    <w:p w14:paraId="2D8871CC">
      <w:pPr>
        <w:numPr>
          <w:ilvl w:val="0"/>
          <w:numId w:val="2"/>
        </w:numPr>
        <w:rPr>
          <w:rFonts w:hint="eastAsia" w:ascii="仿宋" w:hAnsi="仿宋" w:eastAsia="仿宋" w:cs="仿宋"/>
          <w:sz w:val="32"/>
          <w:szCs w:val="32"/>
        </w:rPr>
      </w:pPr>
      <w:r>
        <w:rPr>
          <w:rFonts w:hint="eastAsia" w:ascii="仿宋" w:hAnsi="仿宋" w:eastAsia="仿宋" w:cs="仿宋"/>
          <w:sz w:val="32"/>
          <w:szCs w:val="32"/>
        </w:rPr>
        <w:t>接地装置</w:t>
      </w:r>
    </w:p>
    <w:p w14:paraId="0B59B41E">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1、测量方法：</w:t>
      </w:r>
      <w:r>
        <w:rPr>
          <w:rFonts w:hint="eastAsia" w:ascii="仿宋" w:hAnsi="仿宋" w:eastAsia="仿宋" w:cs="仿宋"/>
          <w:sz w:val="32"/>
          <w:szCs w:val="32"/>
        </w:rPr>
        <w:t>必须采用符合国家标准的测试方法（如三极法、大电流法等）进行测量。</w:t>
      </w:r>
    </w:p>
    <w:p w14:paraId="69C237E3">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指标要求：</w:t>
      </w:r>
    </w:p>
    <w:p w14:paraId="7B1BE75F">
      <w:pPr>
        <w:ind w:firstLine="640" w:firstLineChars="200"/>
        <w:rPr>
          <w:rFonts w:hint="eastAsia" w:ascii="仿宋" w:hAnsi="仿宋" w:eastAsia="仿宋" w:cs="仿宋"/>
          <w:sz w:val="32"/>
          <w:szCs w:val="32"/>
        </w:rPr>
      </w:pPr>
      <w:r>
        <w:rPr>
          <w:rFonts w:hint="eastAsia" w:ascii="仿宋" w:hAnsi="仿宋" w:eastAsia="仿宋" w:cs="仿宋"/>
          <w:sz w:val="32"/>
          <w:szCs w:val="32"/>
        </w:rPr>
        <w:t>油库、加油站等易燃易爆场所：接地电阻一般不应大于4Ω（共用接地网不应大于1Ω，具体按设计文件及规范执行）。</w:t>
      </w:r>
    </w:p>
    <w:p w14:paraId="2D487D91">
      <w:pPr>
        <w:ind w:firstLine="640" w:firstLineChars="200"/>
        <w:rPr>
          <w:rFonts w:hint="eastAsia" w:ascii="仿宋" w:hAnsi="仿宋" w:eastAsia="仿宋" w:cs="仿宋"/>
          <w:sz w:val="32"/>
          <w:szCs w:val="32"/>
        </w:rPr>
      </w:pPr>
      <w:r>
        <w:rPr>
          <w:rFonts w:hint="eastAsia" w:ascii="仿宋" w:hAnsi="仿宋" w:eastAsia="仿宋" w:cs="仿宋"/>
          <w:sz w:val="32"/>
          <w:szCs w:val="32"/>
        </w:rPr>
        <w:t>办公及三类防雷建筑物：接地电阻不应大于10Ω。</w:t>
      </w:r>
    </w:p>
    <w:p w14:paraId="2E06EF14">
      <w:pPr>
        <w:rPr>
          <w:rFonts w:hint="eastAsia" w:ascii="仿宋" w:hAnsi="仿宋" w:eastAsia="仿宋" w:cs="仿宋"/>
          <w:sz w:val="32"/>
          <w:szCs w:val="32"/>
        </w:rPr>
      </w:pPr>
      <w:r>
        <w:rPr>
          <w:rFonts w:hint="eastAsia" w:ascii="仿宋" w:hAnsi="仿宋" w:eastAsia="仿宋" w:cs="仿宋"/>
          <w:sz w:val="32"/>
          <w:szCs w:val="32"/>
        </w:rPr>
        <w:t>（三）等电位连接与静电接地</w:t>
      </w:r>
    </w:p>
    <w:p w14:paraId="3C77DDDB">
      <w:pPr>
        <w:ind w:firstLine="640" w:firstLineChars="200"/>
        <w:rPr>
          <w:rFonts w:hint="eastAsia" w:ascii="仿宋" w:hAnsi="仿宋" w:eastAsia="仿宋" w:cs="仿宋"/>
          <w:sz w:val="32"/>
          <w:szCs w:val="32"/>
        </w:rPr>
      </w:pPr>
      <w:r>
        <w:rPr>
          <w:rFonts w:hint="eastAsia" w:ascii="仿宋" w:hAnsi="仿宋" w:eastAsia="仿宋" w:cs="仿宋"/>
          <w:sz w:val="32"/>
          <w:szCs w:val="32"/>
        </w:rPr>
        <w:t>重点检查金属管道、设备外壳、构架等金属物的等电位连接状况；检测法兰跨接、静电接地夹的导通性，确保无电位差。</w:t>
      </w:r>
    </w:p>
    <w:p w14:paraId="5EE58F07">
      <w:pPr>
        <w:rPr>
          <w:rFonts w:hint="eastAsia" w:ascii="仿宋" w:hAnsi="仿宋" w:eastAsia="仿宋" w:cs="仿宋"/>
          <w:sz w:val="32"/>
          <w:szCs w:val="32"/>
        </w:rPr>
      </w:pPr>
      <w:r>
        <w:rPr>
          <w:rFonts w:hint="eastAsia" w:ascii="仿宋" w:hAnsi="仿宋" w:eastAsia="仿宋" w:cs="仿宋"/>
          <w:sz w:val="32"/>
          <w:szCs w:val="32"/>
        </w:rPr>
        <w:t>（四）电涌保护器（SPD）</w:t>
      </w:r>
    </w:p>
    <w:p w14:paraId="03C85B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检查各级SPD的型号参数、安装位置、接线方式及运行状态指示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测试SPD的绝缘电阻及漏电流（如有）</w:t>
      </w:r>
      <w:r>
        <w:rPr>
          <w:rFonts w:hint="eastAsia" w:ascii="仿宋" w:hAnsi="仿宋" w:eastAsia="仿宋" w:cs="仿宋"/>
          <w:sz w:val="32"/>
          <w:szCs w:val="32"/>
        </w:rPr>
        <w:t>。</w:t>
      </w:r>
      <w:r>
        <w:rPr>
          <w:rFonts w:hint="eastAsia" w:ascii="仿宋" w:hAnsi="仿宋" w:eastAsia="仿宋" w:cs="仿宋"/>
          <w:sz w:val="32"/>
          <w:szCs w:val="32"/>
          <w:lang w:val="en-US" w:eastAsia="zh-CN"/>
        </w:rPr>
        <w:t>并检查其是否有效动作。</w:t>
      </w:r>
    </w:p>
    <w:p w14:paraId="7B132E9D">
      <w:pPr>
        <w:numPr>
          <w:ilvl w:val="0"/>
          <w:numId w:val="3"/>
        </w:numPr>
        <w:rPr>
          <w:rFonts w:hint="eastAsia" w:ascii="仿宋" w:hAnsi="仿宋" w:eastAsia="仿宋" w:cs="仿宋"/>
          <w:sz w:val="32"/>
          <w:szCs w:val="32"/>
        </w:rPr>
      </w:pPr>
      <w:r>
        <w:rPr>
          <w:rFonts w:hint="eastAsia" w:ascii="仿宋" w:hAnsi="仿宋" w:eastAsia="仿宋" w:cs="仿宋"/>
          <w:sz w:val="32"/>
          <w:szCs w:val="32"/>
        </w:rPr>
        <w:t>检测方法与作业要求</w:t>
      </w:r>
    </w:p>
    <w:p w14:paraId="7A8372FB">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1、企业资质：必须持有省级（或以上）气象主管部门颁发的《雷电防护装置检测资质证》，资质等级甲级，且在有效期内。</w:t>
      </w:r>
    </w:p>
    <w:p w14:paraId="594CD7C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资质人员：现场检测人员必须持有防雷检测资格证书，且不少于</w:t>
      </w:r>
      <w:r>
        <w:rPr>
          <w:rFonts w:hint="eastAsia" w:ascii="仿宋" w:hAnsi="仿宋" w:eastAsia="仿宋" w:cs="仿宋"/>
          <w:sz w:val="32"/>
          <w:szCs w:val="32"/>
          <w:lang w:val="en-US" w:eastAsia="zh-CN"/>
        </w:rPr>
        <w:t>三</w:t>
      </w:r>
      <w:r>
        <w:rPr>
          <w:rFonts w:hint="eastAsia" w:ascii="仿宋" w:hAnsi="仿宋" w:eastAsia="仿宋" w:cs="仿宋"/>
          <w:sz w:val="32"/>
          <w:szCs w:val="32"/>
        </w:rPr>
        <w:t>人，其中至少有一名技术人员具备中级及以上职称。</w:t>
      </w:r>
    </w:p>
    <w:p w14:paraId="1A83E8F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仪器设备：必须使用经法定计量检定机构检定合格且在有效期内的检测仪器（如接地电阻测试仪、等电位测试仪、静电测试仪等），并出具检定证书复印件备查。</w:t>
      </w:r>
    </w:p>
    <w:p w14:paraId="19F5A08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作业安全：进入油库、加油站作业区域，必须严格遵守甲方的管理规定（如禁带火种、使用防爆设备等）。</w:t>
      </w:r>
    </w:p>
    <w:p w14:paraId="784CA43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5、作业方案：</w:t>
      </w:r>
      <w:r>
        <w:rPr>
          <w:rFonts w:hint="eastAsia" w:ascii="仿宋" w:hAnsi="仿宋" w:eastAsia="仿宋" w:cs="仿宋"/>
          <w:sz w:val="32"/>
          <w:szCs w:val="32"/>
        </w:rPr>
        <w:t>作业前需制定现场</w:t>
      </w:r>
      <w:r>
        <w:rPr>
          <w:rFonts w:hint="eastAsia" w:ascii="仿宋" w:hAnsi="仿宋" w:eastAsia="仿宋" w:cs="仿宋"/>
          <w:sz w:val="32"/>
          <w:szCs w:val="32"/>
          <w:lang w:val="en-US" w:eastAsia="zh-CN"/>
        </w:rPr>
        <w:t>检测方案</w:t>
      </w:r>
      <w:r>
        <w:rPr>
          <w:rFonts w:hint="eastAsia" w:ascii="仿宋" w:hAnsi="仿宋" w:eastAsia="仿宋" w:cs="仿宋"/>
          <w:sz w:val="32"/>
          <w:szCs w:val="32"/>
        </w:rPr>
        <w:t>。</w:t>
      </w:r>
    </w:p>
    <w:p w14:paraId="410E1C2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6、天气限制：</w:t>
      </w:r>
      <w:r>
        <w:rPr>
          <w:rFonts w:hint="eastAsia" w:ascii="仿宋" w:hAnsi="仿宋" w:eastAsia="仿宋" w:cs="仿宋"/>
          <w:sz w:val="32"/>
          <w:szCs w:val="32"/>
        </w:rPr>
        <w:t>不得在雷雨天气进行现场检测。</w:t>
      </w:r>
    </w:p>
    <w:p w14:paraId="19BB9786">
      <w:pPr>
        <w:rPr>
          <w:rFonts w:hint="eastAsia" w:ascii="仿宋" w:hAnsi="仿宋" w:eastAsia="仿宋" w:cs="仿宋"/>
          <w:sz w:val="32"/>
          <w:szCs w:val="32"/>
        </w:rPr>
      </w:pPr>
      <w:r>
        <w:rPr>
          <w:rFonts w:hint="eastAsia" w:ascii="仿宋" w:hAnsi="仿宋" w:eastAsia="仿宋" w:cs="仿宋"/>
          <w:sz w:val="32"/>
          <w:szCs w:val="32"/>
        </w:rPr>
        <w:t>六、成果提交与服务响应</w:t>
      </w:r>
    </w:p>
    <w:p w14:paraId="0736DD74">
      <w:pPr>
        <w:rPr>
          <w:rFonts w:hint="eastAsia" w:ascii="仿宋" w:hAnsi="仿宋" w:eastAsia="仿宋" w:cs="仿宋"/>
          <w:sz w:val="32"/>
          <w:szCs w:val="32"/>
        </w:rPr>
      </w:pPr>
      <w:r>
        <w:rPr>
          <w:rFonts w:hint="eastAsia" w:ascii="仿宋" w:hAnsi="仿宋" w:eastAsia="仿宋" w:cs="仿宋"/>
          <w:sz w:val="32"/>
          <w:szCs w:val="32"/>
        </w:rPr>
        <w:t>（一）检测报告</w:t>
      </w:r>
    </w:p>
    <w:p w14:paraId="64F273F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检测完成后，需出具由气象主管机构认可、具有法律效力的《防雷装置检测报告》。</w:t>
      </w:r>
    </w:p>
    <w:p w14:paraId="16CE7C9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报告内容应包含：检测依据、检测项目、检测数据、判定结论、隐患描述及整改建议。</w:t>
      </w:r>
    </w:p>
    <w:p w14:paraId="12FB3BD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检测结论需明确判定各检测点位是否合格，严禁出具模糊性结论。</w:t>
      </w:r>
    </w:p>
    <w:p w14:paraId="2F623168">
      <w:pPr>
        <w:rPr>
          <w:rFonts w:hint="eastAsia" w:ascii="仿宋" w:hAnsi="仿宋" w:eastAsia="仿宋" w:cs="仿宋"/>
          <w:sz w:val="32"/>
          <w:szCs w:val="32"/>
        </w:rPr>
      </w:pPr>
      <w:r>
        <w:rPr>
          <w:rFonts w:hint="eastAsia" w:ascii="仿宋" w:hAnsi="仿宋" w:eastAsia="仿宋" w:cs="仿宋"/>
          <w:sz w:val="32"/>
          <w:szCs w:val="32"/>
        </w:rPr>
        <w:t>（二）隐患整改服务</w:t>
      </w:r>
    </w:p>
    <w:p w14:paraId="7D83392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对于检测中发现的不合格项，需现场出具《隐患整改建议书》，并提供技术指导。</w:t>
      </w:r>
    </w:p>
    <w:p w14:paraId="1F57E5C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在甲方完成整改后，乙方需在规定时间内（</w:t>
      </w:r>
      <w:r>
        <w:rPr>
          <w:rFonts w:hint="eastAsia" w:ascii="仿宋" w:hAnsi="仿宋" w:eastAsia="仿宋" w:cs="仿宋"/>
          <w:sz w:val="32"/>
          <w:szCs w:val="32"/>
          <w:lang w:val="en-US" w:eastAsia="zh-CN"/>
        </w:rPr>
        <w:t>48</w:t>
      </w:r>
      <w:r>
        <w:rPr>
          <w:rFonts w:hint="eastAsia" w:ascii="仿宋" w:hAnsi="仿宋" w:eastAsia="仿宋" w:cs="仿宋"/>
          <w:sz w:val="32"/>
          <w:szCs w:val="32"/>
        </w:rPr>
        <w:t>小时内）免费进行复检，直至合格，复检费用包含在合同总价中。</w:t>
      </w:r>
    </w:p>
    <w:p w14:paraId="34377F30">
      <w:pPr>
        <w:rPr>
          <w:rFonts w:hint="eastAsia" w:ascii="仿宋" w:hAnsi="仿宋" w:eastAsia="仿宋" w:cs="仿宋"/>
          <w:sz w:val="32"/>
          <w:szCs w:val="32"/>
        </w:rPr>
      </w:pPr>
      <w:r>
        <w:rPr>
          <w:rFonts w:hint="eastAsia" w:ascii="仿宋" w:hAnsi="仿宋" w:eastAsia="仿宋" w:cs="仿宋"/>
          <w:sz w:val="32"/>
          <w:szCs w:val="32"/>
        </w:rPr>
        <w:t>（三）监管配合</w:t>
      </w:r>
    </w:p>
    <w:p w14:paraId="3614DF4C">
      <w:pPr>
        <w:ind w:firstLine="640" w:firstLineChars="200"/>
        <w:rPr>
          <w:rFonts w:hint="eastAsia" w:ascii="仿宋" w:hAnsi="仿宋" w:eastAsia="仿宋" w:cs="仿宋"/>
          <w:sz w:val="32"/>
          <w:szCs w:val="32"/>
        </w:rPr>
      </w:pPr>
      <w:r>
        <w:rPr>
          <w:rFonts w:hint="eastAsia" w:ascii="仿宋" w:hAnsi="仿宋" w:eastAsia="仿宋" w:cs="仿宋"/>
          <w:sz w:val="32"/>
          <w:szCs w:val="32"/>
        </w:rPr>
        <w:t> 如遇地方气象主管机构执法检查，因乙方检测报告质量、数据缺失或资质问题导致甲方被通报、处罚或责令整改的，乙方须无偿负责处理相关事宜，并承担由此产生的全部法律责任及经济损失。</w:t>
      </w:r>
    </w:p>
    <w:p w14:paraId="39890E70">
      <w:pPr>
        <w:rPr>
          <w:rFonts w:hint="eastAsia" w:ascii="仿宋" w:hAnsi="仿宋" w:eastAsia="仿宋" w:cs="仿宋"/>
          <w:sz w:val="32"/>
          <w:szCs w:val="32"/>
        </w:rPr>
      </w:pPr>
      <w:r>
        <w:rPr>
          <w:rFonts w:hint="eastAsia" w:ascii="仿宋" w:hAnsi="仿宋" w:eastAsia="仿宋" w:cs="仿宋"/>
          <w:sz w:val="32"/>
          <w:szCs w:val="32"/>
        </w:rPr>
        <w:t>（四）时间要求</w:t>
      </w:r>
    </w:p>
    <w:p w14:paraId="0C854EA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施工时限：乙方须在接到甲方通知之日起 10个工作日 内完成进场施工及现场检测工作。</w:t>
      </w:r>
    </w:p>
    <w:p w14:paraId="3E9199E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现场检测结束后7个工作日内提交正式检测报告。</w:t>
      </w:r>
    </w:p>
    <w:p w14:paraId="260CF673">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3、工期顺延说明：</w:t>
      </w:r>
    </w:p>
    <w:p w14:paraId="00DFE49F">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雷雨、大风等恶劣天气原因导致无法进行现场检测的，乙方应及时向甲方报备，经甲方确认后，工期可相应顺延。但乙方须提前制定灵活的作业计划，在天气转好后迅速组织人员进场，不得以天气为由消极怠工。</w:t>
      </w:r>
    </w:p>
    <w:p w14:paraId="0C17B880">
      <w:pPr>
        <w:spacing w:line="240" w:lineRule="auto"/>
        <w:rPr>
          <w:rFonts w:hint="eastAsia" w:ascii="仿宋" w:hAnsi="仿宋" w:eastAsia="仿宋" w:cs="仿宋"/>
          <w:sz w:val="32"/>
          <w:szCs w:val="32"/>
        </w:rPr>
      </w:pPr>
      <w:r>
        <w:rPr>
          <w:rFonts w:hint="eastAsia" w:ascii="仿宋" w:hAnsi="仿宋" w:eastAsia="仿宋" w:cs="仿宋"/>
          <w:sz w:val="32"/>
          <w:szCs w:val="32"/>
        </w:rPr>
        <w:t>七、商务及服务要求</w:t>
      </w:r>
    </w:p>
    <w:p w14:paraId="03BDC473">
      <w:pPr>
        <w:spacing w:line="240" w:lineRule="auto"/>
        <w:rPr>
          <w:rFonts w:hint="eastAsia" w:ascii="仿宋" w:hAnsi="仿宋" w:eastAsia="仿宋" w:cs="仿宋"/>
          <w:sz w:val="32"/>
          <w:szCs w:val="32"/>
        </w:rPr>
      </w:pPr>
      <w:r>
        <w:rPr>
          <w:rFonts w:hint="eastAsia" w:ascii="仿宋" w:hAnsi="仿宋" w:eastAsia="仿宋" w:cs="仿宋"/>
          <w:sz w:val="32"/>
          <w:szCs w:val="32"/>
        </w:rPr>
        <w:t>（一）付款方式</w:t>
      </w:r>
    </w:p>
    <w:p w14:paraId="5CE54F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本项目服务费用分两期支付，原则上不预留质保金：</w:t>
      </w:r>
    </w:p>
    <w:p w14:paraId="18FD4800">
      <w:pPr>
        <w:spacing w:line="240" w:lineRule="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第一期：上半年检测任务完成，出具检测报告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待</w:t>
      </w:r>
      <w:r>
        <w:rPr>
          <w:rFonts w:hint="eastAsia" w:ascii="仿宋" w:hAnsi="仿宋" w:eastAsia="仿宋" w:cs="仿宋"/>
          <w:sz w:val="32"/>
          <w:szCs w:val="32"/>
        </w:rPr>
        <w:t>甲方</w:t>
      </w:r>
      <w:r>
        <w:rPr>
          <w:rFonts w:hint="eastAsia" w:ascii="仿宋" w:hAnsi="仿宋" w:eastAsia="仿宋" w:cs="仿宋"/>
          <w:sz w:val="32"/>
          <w:szCs w:val="32"/>
          <w:lang w:val="en-US" w:eastAsia="zh-CN"/>
        </w:rPr>
        <w:t>收到报告</w:t>
      </w:r>
      <w:r>
        <w:rPr>
          <w:rFonts w:hint="eastAsia" w:ascii="仿宋" w:hAnsi="仿宋" w:eastAsia="仿宋" w:cs="仿宋"/>
          <w:sz w:val="32"/>
          <w:szCs w:val="32"/>
        </w:rPr>
        <w:t>后，支付合同总金额的</w:t>
      </w:r>
      <w:r>
        <w:rPr>
          <w:rFonts w:hint="eastAsia" w:ascii="仿宋" w:hAnsi="仿宋" w:eastAsia="仿宋" w:cs="仿宋"/>
          <w:sz w:val="32"/>
          <w:szCs w:val="32"/>
          <w:lang w:val="en-US" w:eastAsia="zh-CN"/>
        </w:rPr>
        <w:t>9</w:t>
      </w:r>
      <w:r>
        <w:rPr>
          <w:rFonts w:hint="eastAsia" w:ascii="仿宋" w:hAnsi="仿宋" w:eastAsia="仿宋" w:cs="仿宋"/>
          <w:sz w:val="32"/>
          <w:szCs w:val="32"/>
        </w:rPr>
        <w:t>0%；</w:t>
      </w:r>
    </w:p>
    <w:p w14:paraId="736F33C3">
      <w:pPr>
        <w:spacing w:line="240" w:lineRule="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第二期：下半年检测任务完成，出具检测报告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待甲方收到报告</w:t>
      </w:r>
      <w:r>
        <w:rPr>
          <w:rFonts w:hint="eastAsia" w:ascii="仿宋" w:hAnsi="仿宋" w:eastAsia="仿宋" w:cs="仿宋"/>
          <w:sz w:val="32"/>
          <w:szCs w:val="32"/>
        </w:rPr>
        <w:t>后，支付合同剩余的</w:t>
      </w:r>
      <w:r>
        <w:rPr>
          <w:rFonts w:hint="eastAsia" w:ascii="仿宋" w:hAnsi="仿宋" w:eastAsia="仿宋" w:cs="仿宋"/>
          <w:sz w:val="32"/>
          <w:szCs w:val="32"/>
          <w:lang w:val="en-US" w:eastAsia="zh-CN"/>
        </w:rPr>
        <w:t>1</w:t>
      </w:r>
      <w:r>
        <w:rPr>
          <w:rFonts w:hint="eastAsia" w:ascii="仿宋" w:hAnsi="仿宋" w:eastAsia="仿宋" w:cs="仿宋"/>
          <w:sz w:val="32"/>
          <w:szCs w:val="32"/>
        </w:rPr>
        <w:t>0%。</w:t>
      </w:r>
    </w:p>
    <w:p w14:paraId="3594E2A1">
      <w:pPr>
        <w:spacing w:line="240" w:lineRule="auto"/>
        <w:rPr>
          <w:rFonts w:hint="eastAsia" w:ascii="仿宋" w:hAnsi="仿宋" w:eastAsia="仿宋" w:cs="仿宋"/>
          <w:sz w:val="32"/>
          <w:szCs w:val="32"/>
        </w:rPr>
      </w:pPr>
      <w:r>
        <w:rPr>
          <w:rFonts w:hint="eastAsia" w:ascii="仿宋" w:hAnsi="仿宋" w:eastAsia="仿宋" w:cs="仿宋"/>
          <w:sz w:val="32"/>
          <w:szCs w:val="32"/>
        </w:rPr>
        <w:t>（二）质保期</w:t>
      </w:r>
    </w:p>
    <w:p w14:paraId="429BD1E3">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本项目属于专项检测服务，服务成果以检测报告及整改闭环为准，不设质保期。服务有效期以合同约定的服务周期为准。</w:t>
      </w:r>
    </w:p>
    <w:p w14:paraId="2DD67927">
      <w:pPr>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、其他要求</w:t>
      </w:r>
    </w:p>
    <w:p w14:paraId="1123A3AB">
      <w:pPr>
        <w:ind w:firstLine="640" w:firstLineChars="200"/>
        <w:rPr>
          <w:rFonts w:hint="eastAsia" w:ascii="仿宋" w:hAnsi="仿宋" w:eastAsia="仿宋" w:cs="仿宋"/>
          <w:sz w:val="32"/>
          <w:szCs w:val="32"/>
        </w:rPr>
      </w:pPr>
      <w:r>
        <w:rPr>
          <w:rFonts w:hint="eastAsia" w:ascii="仿宋" w:hAnsi="仿宋" w:eastAsia="仿宋" w:cs="仿宋"/>
          <w:sz w:val="32"/>
          <w:szCs w:val="32"/>
        </w:rPr>
        <w:t>乙方应对检测数据的真实性、准确性负责，承担因检测结论错误导致的法律责任。</w:t>
      </w:r>
    </w:p>
    <w:p w14:paraId="4ADC2CD6">
      <w:pPr>
        <w:ind w:firstLine="640" w:firstLineChars="200"/>
        <w:rPr>
          <w:rFonts w:hint="eastAsia"/>
        </w:rPr>
      </w:pPr>
      <w:r>
        <w:rPr>
          <w:rFonts w:hint="eastAsia" w:ascii="仿宋" w:hAnsi="仿宋" w:eastAsia="仿宋" w:cs="仿宋"/>
          <w:sz w:val="32"/>
          <w:szCs w:val="32"/>
        </w:rPr>
        <w:t>乙方应对甲方的商业秘密及现场设施情况保密，未经许可不得对外泄露检测数据</w:t>
      </w:r>
      <w:r>
        <w:rPr>
          <w:rFonts w:hint="eastAsia"/>
        </w:rPr>
        <w:t>。</w:t>
      </w:r>
    </w:p>
    <w:p w14:paraId="3998CD9C">
      <w:pPr>
        <w:pStyle w:val="29"/>
        <w:ind w:firstLine="0" w:firstLineChars="0"/>
        <w:rPr>
          <w:rFonts w:ascii="Arial" w:hAnsi="Arial"/>
          <w:b/>
          <w:bCs/>
        </w:rPr>
      </w:pPr>
    </w:p>
    <w:sectPr>
      <w:footerReference r:id="rId3" w:type="default"/>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225091"/>
      <w:docPartObj>
        <w:docPartGallery w:val="autotext"/>
      </w:docPartObj>
    </w:sdtPr>
    <w:sdtContent>
      <w:sdt>
        <w:sdtPr>
          <w:id w:val="2114237590"/>
          <w:docPartObj>
            <w:docPartGallery w:val="autotext"/>
          </w:docPartObj>
        </w:sdtPr>
        <w:sdtContent>
          <w:p w14:paraId="22F77980">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4774E"/>
    <w:multiLevelType w:val="singleLevel"/>
    <w:tmpl w:val="DBF4774E"/>
    <w:lvl w:ilvl="0" w:tentative="0">
      <w:start w:val="2"/>
      <w:numFmt w:val="chineseCounting"/>
      <w:suff w:val="nothing"/>
      <w:lvlText w:val="（%1）"/>
      <w:lvlJc w:val="left"/>
      <w:rPr>
        <w:rFonts w:hint="eastAsia"/>
      </w:rPr>
    </w:lvl>
  </w:abstractNum>
  <w:abstractNum w:abstractNumId="1">
    <w:nsid w:val="FEF2C923"/>
    <w:multiLevelType w:val="singleLevel"/>
    <w:tmpl w:val="FEF2C923"/>
    <w:lvl w:ilvl="0" w:tentative="0">
      <w:start w:val="5"/>
      <w:numFmt w:val="chineseCounting"/>
      <w:suff w:val="nothing"/>
      <w:lvlText w:val="%1、"/>
      <w:lvlJc w:val="left"/>
      <w:rPr>
        <w:rFonts w:hint="eastAsia"/>
      </w:rPr>
    </w:lvl>
  </w:abstractNum>
  <w:abstractNum w:abstractNumId="2">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21A19"/>
    <w:rsid w:val="00035243"/>
    <w:rsid w:val="000601D2"/>
    <w:rsid w:val="00063AE7"/>
    <w:rsid w:val="0007561B"/>
    <w:rsid w:val="00087117"/>
    <w:rsid w:val="00093456"/>
    <w:rsid w:val="000A430E"/>
    <w:rsid w:val="000A4EF4"/>
    <w:rsid w:val="000A629A"/>
    <w:rsid w:val="000A63C8"/>
    <w:rsid w:val="000A6C35"/>
    <w:rsid w:val="000A7AC5"/>
    <w:rsid w:val="000B3BC6"/>
    <w:rsid w:val="000B4A68"/>
    <w:rsid w:val="000C1544"/>
    <w:rsid w:val="000D148B"/>
    <w:rsid w:val="000E227E"/>
    <w:rsid w:val="000F09EB"/>
    <w:rsid w:val="000F4F2C"/>
    <w:rsid w:val="00100ADC"/>
    <w:rsid w:val="00101885"/>
    <w:rsid w:val="00104801"/>
    <w:rsid w:val="00114150"/>
    <w:rsid w:val="00114267"/>
    <w:rsid w:val="00121B91"/>
    <w:rsid w:val="00122D0C"/>
    <w:rsid w:val="00123226"/>
    <w:rsid w:val="00125F20"/>
    <w:rsid w:val="00135396"/>
    <w:rsid w:val="00143BAB"/>
    <w:rsid w:val="00147F6D"/>
    <w:rsid w:val="00152308"/>
    <w:rsid w:val="00154BDE"/>
    <w:rsid w:val="00162169"/>
    <w:rsid w:val="00172A27"/>
    <w:rsid w:val="00177B74"/>
    <w:rsid w:val="00191017"/>
    <w:rsid w:val="001A2335"/>
    <w:rsid w:val="001B355C"/>
    <w:rsid w:val="001B4416"/>
    <w:rsid w:val="001B464F"/>
    <w:rsid w:val="001B7F79"/>
    <w:rsid w:val="001C13B7"/>
    <w:rsid w:val="001C149E"/>
    <w:rsid w:val="001C3096"/>
    <w:rsid w:val="001C457B"/>
    <w:rsid w:val="001C60CE"/>
    <w:rsid w:val="001D19C8"/>
    <w:rsid w:val="001F28D0"/>
    <w:rsid w:val="002212E4"/>
    <w:rsid w:val="00221C74"/>
    <w:rsid w:val="002234D1"/>
    <w:rsid w:val="00235BB6"/>
    <w:rsid w:val="002502DE"/>
    <w:rsid w:val="00250DF9"/>
    <w:rsid w:val="00255C5F"/>
    <w:rsid w:val="00262E70"/>
    <w:rsid w:val="00264FE9"/>
    <w:rsid w:val="00265237"/>
    <w:rsid w:val="0026675A"/>
    <w:rsid w:val="00286D83"/>
    <w:rsid w:val="00294589"/>
    <w:rsid w:val="00296F40"/>
    <w:rsid w:val="002A5FD4"/>
    <w:rsid w:val="002A7572"/>
    <w:rsid w:val="002C3BBA"/>
    <w:rsid w:val="002D109A"/>
    <w:rsid w:val="002D1AAA"/>
    <w:rsid w:val="002D25FD"/>
    <w:rsid w:val="002D4581"/>
    <w:rsid w:val="002F446C"/>
    <w:rsid w:val="002F6B88"/>
    <w:rsid w:val="00304A01"/>
    <w:rsid w:val="0030764D"/>
    <w:rsid w:val="003126F9"/>
    <w:rsid w:val="003132F4"/>
    <w:rsid w:val="003136E3"/>
    <w:rsid w:val="00314435"/>
    <w:rsid w:val="00315C74"/>
    <w:rsid w:val="00316343"/>
    <w:rsid w:val="00316EC2"/>
    <w:rsid w:val="00320E60"/>
    <w:rsid w:val="00331411"/>
    <w:rsid w:val="00333959"/>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C2F57"/>
    <w:rsid w:val="003F2CE9"/>
    <w:rsid w:val="004020C5"/>
    <w:rsid w:val="00420519"/>
    <w:rsid w:val="0043176C"/>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90210"/>
    <w:rsid w:val="004908D8"/>
    <w:rsid w:val="00495471"/>
    <w:rsid w:val="004B0881"/>
    <w:rsid w:val="004C3A41"/>
    <w:rsid w:val="004D0360"/>
    <w:rsid w:val="004D1EB4"/>
    <w:rsid w:val="004D2674"/>
    <w:rsid w:val="004D2CAC"/>
    <w:rsid w:val="004D5E99"/>
    <w:rsid w:val="004E2187"/>
    <w:rsid w:val="004E3186"/>
    <w:rsid w:val="004E59FB"/>
    <w:rsid w:val="004E5AFA"/>
    <w:rsid w:val="004F0BB3"/>
    <w:rsid w:val="004F367A"/>
    <w:rsid w:val="004F7266"/>
    <w:rsid w:val="00506F70"/>
    <w:rsid w:val="0051144B"/>
    <w:rsid w:val="00514613"/>
    <w:rsid w:val="005250A0"/>
    <w:rsid w:val="00530851"/>
    <w:rsid w:val="005311A5"/>
    <w:rsid w:val="005374D9"/>
    <w:rsid w:val="00537699"/>
    <w:rsid w:val="005410FE"/>
    <w:rsid w:val="00541729"/>
    <w:rsid w:val="00542117"/>
    <w:rsid w:val="00544ADB"/>
    <w:rsid w:val="005451C0"/>
    <w:rsid w:val="005549E6"/>
    <w:rsid w:val="00555326"/>
    <w:rsid w:val="00564C6A"/>
    <w:rsid w:val="005656DA"/>
    <w:rsid w:val="0056634D"/>
    <w:rsid w:val="0057392F"/>
    <w:rsid w:val="00580C8E"/>
    <w:rsid w:val="00590606"/>
    <w:rsid w:val="005A12BF"/>
    <w:rsid w:val="005A5382"/>
    <w:rsid w:val="005A78B1"/>
    <w:rsid w:val="005B477E"/>
    <w:rsid w:val="005C0154"/>
    <w:rsid w:val="005C4626"/>
    <w:rsid w:val="005D0195"/>
    <w:rsid w:val="005D356E"/>
    <w:rsid w:val="005D5EC3"/>
    <w:rsid w:val="005D7384"/>
    <w:rsid w:val="005E369F"/>
    <w:rsid w:val="005F0514"/>
    <w:rsid w:val="005F7C1D"/>
    <w:rsid w:val="0060755D"/>
    <w:rsid w:val="00621922"/>
    <w:rsid w:val="00631F12"/>
    <w:rsid w:val="00636282"/>
    <w:rsid w:val="0064219E"/>
    <w:rsid w:val="00642C82"/>
    <w:rsid w:val="00643A60"/>
    <w:rsid w:val="00645C47"/>
    <w:rsid w:val="006505E8"/>
    <w:rsid w:val="00650AE9"/>
    <w:rsid w:val="00651544"/>
    <w:rsid w:val="00652EDA"/>
    <w:rsid w:val="00656CBF"/>
    <w:rsid w:val="00662CB8"/>
    <w:rsid w:val="0067632C"/>
    <w:rsid w:val="00683D50"/>
    <w:rsid w:val="00683DB8"/>
    <w:rsid w:val="00686774"/>
    <w:rsid w:val="006A71E2"/>
    <w:rsid w:val="006C0AD7"/>
    <w:rsid w:val="006C0D2C"/>
    <w:rsid w:val="006C6A61"/>
    <w:rsid w:val="006D1C7F"/>
    <w:rsid w:val="006E1A10"/>
    <w:rsid w:val="006E60DD"/>
    <w:rsid w:val="006F07A8"/>
    <w:rsid w:val="006F3196"/>
    <w:rsid w:val="006F5F71"/>
    <w:rsid w:val="00704A18"/>
    <w:rsid w:val="00705ADB"/>
    <w:rsid w:val="00706CAD"/>
    <w:rsid w:val="0071702B"/>
    <w:rsid w:val="00727848"/>
    <w:rsid w:val="00734694"/>
    <w:rsid w:val="007407F0"/>
    <w:rsid w:val="00745E5F"/>
    <w:rsid w:val="007561F1"/>
    <w:rsid w:val="00764A27"/>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2853"/>
    <w:rsid w:val="007C393C"/>
    <w:rsid w:val="007C7177"/>
    <w:rsid w:val="007F10B8"/>
    <w:rsid w:val="007F123A"/>
    <w:rsid w:val="00804617"/>
    <w:rsid w:val="008069F5"/>
    <w:rsid w:val="0081003B"/>
    <w:rsid w:val="00815D81"/>
    <w:rsid w:val="00820777"/>
    <w:rsid w:val="00827856"/>
    <w:rsid w:val="00834292"/>
    <w:rsid w:val="00834E46"/>
    <w:rsid w:val="00840153"/>
    <w:rsid w:val="00862764"/>
    <w:rsid w:val="008711A6"/>
    <w:rsid w:val="00875A6C"/>
    <w:rsid w:val="00877F0C"/>
    <w:rsid w:val="00892A23"/>
    <w:rsid w:val="008A1037"/>
    <w:rsid w:val="008A30DB"/>
    <w:rsid w:val="008A402C"/>
    <w:rsid w:val="008A4D95"/>
    <w:rsid w:val="008B2B82"/>
    <w:rsid w:val="008B4000"/>
    <w:rsid w:val="008B4059"/>
    <w:rsid w:val="008B65B9"/>
    <w:rsid w:val="008C032A"/>
    <w:rsid w:val="008D1E20"/>
    <w:rsid w:val="008E2B73"/>
    <w:rsid w:val="008E4D90"/>
    <w:rsid w:val="008F46E1"/>
    <w:rsid w:val="00906684"/>
    <w:rsid w:val="00906CAA"/>
    <w:rsid w:val="0091258E"/>
    <w:rsid w:val="00913365"/>
    <w:rsid w:val="00915112"/>
    <w:rsid w:val="00920AA4"/>
    <w:rsid w:val="00926538"/>
    <w:rsid w:val="00932694"/>
    <w:rsid w:val="00937FCC"/>
    <w:rsid w:val="009567EC"/>
    <w:rsid w:val="009724DD"/>
    <w:rsid w:val="00972CB7"/>
    <w:rsid w:val="00974939"/>
    <w:rsid w:val="009765FF"/>
    <w:rsid w:val="00976EBC"/>
    <w:rsid w:val="00982B8E"/>
    <w:rsid w:val="00984DB1"/>
    <w:rsid w:val="00987C5C"/>
    <w:rsid w:val="0099002E"/>
    <w:rsid w:val="00997DF3"/>
    <w:rsid w:val="009A3B4E"/>
    <w:rsid w:val="009A4D70"/>
    <w:rsid w:val="009B516F"/>
    <w:rsid w:val="009B601C"/>
    <w:rsid w:val="009B6514"/>
    <w:rsid w:val="009B6811"/>
    <w:rsid w:val="009C1EC6"/>
    <w:rsid w:val="009C38FA"/>
    <w:rsid w:val="009C6F49"/>
    <w:rsid w:val="009D2D3D"/>
    <w:rsid w:val="009F0AF0"/>
    <w:rsid w:val="00A02A81"/>
    <w:rsid w:val="00A10171"/>
    <w:rsid w:val="00A10E90"/>
    <w:rsid w:val="00A16A7C"/>
    <w:rsid w:val="00A17EFF"/>
    <w:rsid w:val="00A25D33"/>
    <w:rsid w:val="00A25DB0"/>
    <w:rsid w:val="00A43126"/>
    <w:rsid w:val="00A64FB2"/>
    <w:rsid w:val="00A65595"/>
    <w:rsid w:val="00A74369"/>
    <w:rsid w:val="00A7470F"/>
    <w:rsid w:val="00A75856"/>
    <w:rsid w:val="00A80992"/>
    <w:rsid w:val="00A85038"/>
    <w:rsid w:val="00A86D75"/>
    <w:rsid w:val="00A944F2"/>
    <w:rsid w:val="00AA6330"/>
    <w:rsid w:val="00AB36FB"/>
    <w:rsid w:val="00AB792C"/>
    <w:rsid w:val="00AC2570"/>
    <w:rsid w:val="00AC54D9"/>
    <w:rsid w:val="00AD0EE3"/>
    <w:rsid w:val="00AF739E"/>
    <w:rsid w:val="00B01ED5"/>
    <w:rsid w:val="00B13D22"/>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A0789"/>
    <w:rsid w:val="00BA11C0"/>
    <w:rsid w:val="00BA75DD"/>
    <w:rsid w:val="00BB5A35"/>
    <w:rsid w:val="00BC39C3"/>
    <w:rsid w:val="00BE09FA"/>
    <w:rsid w:val="00BE75A7"/>
    <w:rsid w:val="00BF0614"/>
    <w:rsid w:val="00C10C0F"/>
    <w:rsid w:val="00C12F21"/>
    <w:rsid w:val="00C23A41"/>
    <w:rsid w:val="00C26C29"/>
    <w:rsid w:val="00C3022A"/>
    <w:rsid w:val="00C31583"/>
    <w:rsid w:val="00C376AB"/>
    <w:rsid w:val="00C424A1"/>
    <w:rsid w:val="00C424C9"/>
    <w:rsid w:val="00C46F5D"/>
    <w:rsid w:val="00C85787"/>
    <w:rsid w:val="00C871C4"/>
    <w:rsid w:val="00C9357A"/>
    <w:rsid w:val="00C93F19"/>
    <w:rsid w:val="00CA7B36"/>
    <w:rsid w:val="00CB0ED3"/>
    <w:rsid w:val="00CB61CC"/>
    <w:rsid w:val="00CC0F69"/>
    <w:rsid w:val="00CC3F31"/>
    <w:rsid w:val="00CC4A26"/>
    <w:rsid w:val="00CF0412"/>
    <w:rsid w:val="00CF59F5"/>
    <w:rsid w:val="00D04461"/>
    <w:rsid w:val="00D1042D"/>
    <w:rsid w:val="00D20D7E"/>
    <w:rsid w:val="00D33390"/>
    <w:rsid w:val="00D33AD7"/>
    <w:rsid w:val="00D43277"/>
    <w:rsid w:val="00D44125"/>
    <w:rsid w:val="00D52617"/>
    <w:rsid w:val="00D57478"/>
    <w:rsid w:val="00D62932"/>
    <w:rsid w:val="00D64C2B"/>
    <w:rsid w:val="00D65618"/>
    <w:rsid w:val="00D73883"/>
    <w:rsid w:val="00D81B4E"/>
    <w:rsid w:val="00D82864"/>
    <w:rsid w:val="00D86B26"/>
    <w:rsid w:val="00D95280"/>
    <w:rsid w:val="00D97434"/>
    <w:rsid w:val="00DB12F0"/>
    <w:rsid w:val="00DB3C3C"/>
    <w:rsid w:val="00DC0037"/>
    <w:rsid w:val="00DC0B2B"/>
    <w:rsid w:val="00DD3904"/>
    <w:rsid w:val="00DD3923"/>
    <w:rsid w:val="00DD584F"/>
    <w:rsid w:val="00DE2BBD"/>
    <w:rsid w:val="00DE2E07"/>
    <w:rsid w:val="00DE33FA"/>
    <w:rsid w:val="00DF48A9"/>
    <w:rsid w:val="00E00B22"/>
    <w:rsid w:val="00E02A60"/>
    <w:rsid w:val="00E11A29"/>
    <w:rsid w:val="00E24362"/>
    <w:rsid w:val="00E31C78"/>
    <w:rsid w:val="00E32360"/>
    <w:rsid w:val="00E44910"/>
    <w:rsid w:val="00E616C7"/>
    <w:rsid w:val="00E622B8"/>
    <w:rsid w:val="00E63105"/>
    <w:rsid w:val="00E93231"/>
    <w:rsid w:val="00EA1517"/>
    <w:rsid w:val="00EA4AD0"/>
    <w:rsid w:val="00EA568D"/>
    <w:rsid w:val="00EA683A"/>
    <w:rsid w:val="00EB1D8B"/>
    <w:rsid w:val="00EB6171"/>
    <w:rsid w:val="00ED3CAC"/>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451A5"/>
    <w:rsid w:val="00F5089F"/>
    <w:rsid w:val="00F51681"/>
    <w:rsid w:val="00F6074A"/>
    <w:rsid w:val="00F61E16"/>
    <w:rsid w:val="00F62791"/>
    <w:rsid w:val="00F6289C"/>
    <w:rsid w:val="00F70265"/>
    <w:rsid w:val="00F717AA"/>
    <w:rsid w:val="00F82837"/>
    <w:rsid w:val="00F9010D"/>
    <w:rsid w:val="00F946CF"/>
    <w:rsid w:val="00FA5E4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3E77FE9"/>
    <w:rsid w:val="047C4AA8"/>
    <w:rsid w:val="050C6111"/>
    <w:rsid w:val="05510A70"/>
    <w:rsid w:val="056045A0"/>
    <w:rsid w:val="05925128"/>
    <w:rsid w:val="05A81219"/>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62395"/>
    <w:rsid w:val="21A7293F"/>
    <w:rsid w:val="21E760D9"/>
    <w:rsid w:val="2202480B"/>
    <w:rsid w:val="22432D68"/>
    <w:rsid w:val="22AB33C9"/>
    <w:rsid w:val="22FA541B"/>
    <w:rsid w:val="23071AD3"/>
    <w:rsid w:val="23525232"/>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2EC41A7"/>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0366DB"/>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290173"/>
    <w:rsid w:val="67630127"/>
    <w:rsid w:val="67837630"/>
    <w:rsid w:val="683D3BEC"/>
    <w:rsid w:val="68417139"/>
    <w:rsid w:val="684347AC"/>
    <w:rsid w:val="68BF275E"/>
    <w:rsid w:val="69005F6E"/>
    <w:rsid w:val="690211CA"/>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1D2A34"/>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topLinePunct/>
      <w:ind w:left="360"/>
      <w:outlineLvl w:val="0"/>
    </w:pPr>
    <w:rPr>
      <w:sz w:val="28"/>
    </w:rPr>
  </w:style>
  <w:style w:type="paragraph" w:styleId="3">
    <w:name w:val="heading 2"/>
    <w:basedOn w:val="1"/>
    <w:next w:val="1"/>
    <w:link w:val="5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5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1"/>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8"/>
    <w:qFormat/>
    <w:uiPriority w:val="0"/>
    <w:rPr>
      <w:rFonts w:ascii="宋体"/>
      <w:sz w:val="18"/>
      <w:szCs w:val="18"/>
    </w:rPr>
  </w:style>
  <w:style w:type="paragraph" w:styleId="18">
    <w:name w:val="annotation text"/>
    <w:basedOn w:val="1"/>
    <w:link w:val="80"/>
    <w:qFormat/>
    <w:uiPriority w:val="0"/>
    <w:pPr>
      <w:jc w:val="left"/>
    </w:pPr>
  </w:style>
  <w:style w:type="paragraph" w:styleId="19">
    <w:name w:val="Body Text 3"/>
    <w:basedOn w:val="1"/>
    <w:link w:val="191"/>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4"/>
    <w:qFormat/>
    <w:uiPriority w:val="0"/>
    <w:rPr>
      <w:rFonts w:ascii="宋体" w:hAnsi="宋体"/>
      <w:color w:val="0000FF"/>
      <w:sz w:val="24"/>
      <w:szCs w:val="24"/>
    </w:rPr>
  </w:style>
  <w:style w:type="paragraph" w:styleId="22">
    <w:name w:val="Body Text Indent"/>
    <w:basedOn w:val="1"/>
    <w:link w:val="81"/>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5"/>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3"/>
    <w:qFormat/>
    <w:uiPriority w:val="0"/>
  </w:style>
  <w:style w:type="paragraph" w:styleId="29">
    <w:name w:val="Body Text Indent 2"/>
    <w:basedOn w:val="1"/>
    <w:link w:val="84"/>
    <w:qFormat/>
    <w:uiPriority w:val="0"/>
    <w:pPr>
      <w:ind w:firstLine="480" w:firstLineChars="200"/>
    </w:pPr>
    <w:rPr>
      <w:rFonts w:ascii="宋体" w:hAnsi="宋体"/>
      <w:color w:val="FF0000"/>
      <w:sz w:val="24"/>
      <w:szCs w:val="24"/>
    </w:rPr>
  </w:style>
  <w:style w:type="paragraph" w:styleId="30">
    <w:name w:val="Balloon Text"/>
    <w:basedOn w:val="1"/>
    <w:link w:val="70"/>
    <w:unhideWhenUsed/>
    <w:qFormat/>
    <w:uiPriority w:val="0"/>
    <w:rPr>
      <w:sz w:val="18"/>
      <w:szCs w:val="18"/>
    </w:rPr>
  </w:style>
  <w:style w:type="paragraph" w:styleId="31">
    <w:name w:val="footer"/>
    <w:basedOn w:val="1"/>
    <w:link w:val="66"/>
    <w:qFormat/>
    <w:uiPriority w:val="99"/>
    <w:pPr>
      <w:tabs>
        <w:tab w:val="center" w:pos="4153"/>
        <w:tab w:val="right" w:pos="8306"/>
      </w:tabs>
      <w:snapToGrid w:val="0"/>
      <w:jc w:val="left"/>
    </w:pPr>
    <w:rPr>
      <w:sz w:val="18"/>
    </w:rPr>
  </w:style>
  <w:style w:type="paragraph" w:styleId="32">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5"/>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6"/>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7"/>
    <w:qFormat/>
    <w:uiPriority w:val="0"/>
    <w:rPr>
      <w:rFonts w:ascii="宋体"/>
      <w:b/>
      <w:bCs/>
      <w:color w:val="0000FF"/>
      <w:sz w:val="30"/>
      <w:szCs w:val="24"/>
    </w:rPr>
  </w:style>
  <w:style w:type="paragraph" w:styleId="41">
    <w:name w:val="Message Header"/>
    <w:basedOn w:val="21"/>
    <w:link w:val="192"/>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next w:val="1"/>
    <w:link w:val="68"/>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0"/>
    <w:semiHidden/>
    <w:qFormat/>
    <w:uiPriority w:val="0"/>
    <w:rPr>
      <w:b/>
      <w:bCs/>
      <w:szCs w:val="24"/>
    </w:rPr>
  </w:style>
  <w:style w:type="paragraph" w:styleId="47">
    <w:name w:val="Body Text First Indent"/>
    <w:basedOn w:val="21"/>
    <w:link w:val="133"/>
    <w:qFormat/>
    <w:uiPriority w:val="0"/>
    <w:pPr>
      <w:spacing w:after="120"/>
      <w:ind w:firstLine="420" w:firstLineChars="100"/>
    </w:pPr>
    <w:rPr>
      <w:rFonts w:hAnsi="Times New Roman"/>
      <w:color w:val="auto"/>
      <w:szCs w:val="20"/>
    </w:rPr>
  </w:style>
  <w:style w:type="table" w:styleId="49">
    <w:name w:val="Table Grid"/>
    <w:basedOn w:val="4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unhideWhenUsed/>
    <w:qFormat/>
    <w:uiPriority w:val="0"/>
    <w:rPr>
      <w:kern w:val="2"/>
      <w:sz w:val="21"/>
      <w:szCs w:val="21"/>
    </w:rPr>
  </w:style>
  <w:style w:type="character" w:styleId="53">
    <w:name w:val="FollowedHyperlink"/>
    <w:qFormat/>
    <w:uiPriority w:val="0"/>
    <w:rPr>
      <w:color w:val="800080"/>
      <w:u w:val="single"/>
    </w:rPr>
  </w:style>
  <w:style w:type="character" w:styleId="54">
    <w:name w:val="Hyperlink"/>
    <w:basedOn w:val="50"/>
    <w:unhideWhenUsed/>
    <w:qFormat/>
    <w:uiPriority w:val="99"/>
    <w:rPr>
      <w:color w:val="0563C1" w:themeColor="hyperlink"/>
      <w:u w:val="single"/>
      <w14:textFill>
        <w14:solidFill>
          <w14:schemeClr w14:val="hlink"/>
        </w14:solidFill>
      </w14:textFill>
    </w:rPr>
  </w:style>
  <w:style w:type="character" w:styleId="55">
    <w:name w:val="annotation reference"/>
    <w:qFormat/>
    <w:uiPriority w:val="0"/>
    <w:rPr>
      <w:sz w:val="21"/>
      <w:szCs w:val="21"/>
    </w:rPr>
  </w:style>
  <w:style w:type="character" w:customStyle="1" w:styleId="56">
    <w:name w:val="标题 1 字符"/>
    <w:basedOn w:val="50"/>
    <w:link w:val="2"/>
    <w:qFormat/>
    <w:uiPriority w:val="0"/>
    <w:rPr>
      <w:kern w:val="2"/>
      <w:sz w:val="28"/>
    </w:rPr>
  </w:style>
  <w:style w:type="character" w:customStyle="1" w:styleId="57">
    <w:name w:val="标题 2 字符"/>
    <w:basedOn w:val="50"/>
    <w:link w:val="3"/>
    <w:qFormat/>
    <w:uiPriority w:val="0"/>
    <w:rPr>
      <w:rFonts w:ascii="Arial" w:hAnsi="Arial" w:eastAsia="黑体"/>
      <w:b/>
      <w:sz w:val="32"/>
    </w:rPr>
  </w:style>
  <w:style w:type="character" w:customStyle="1" w:styleId="58">
    <w:name w:val="标题 3 字符"/>
    <w:basedOn w:val="50"/>
    <w:link w:val="4"/>
    <w:qFormat/>
    <w:uiPriority w:val="0"/>
    <w:rPr>
      <w:b/>
      <w:sz w:val="32"/>
    </w:rPr>
  </w:style>
  <w:style w:type="character" w:customStyle="1" w:styleId="59">
    <w:name w:val="标题 4 字符"/>
    <w:basedOn w:val="50"/>
    <w:link w:val="5"/>
    <w:qFormat/>
    <w:uiPriority w:val="0"/>
    <w:rPr>
      <w:rFonts w:ascii="Arial" w:hAnsi="Arial" w:eastAsia="黑体"/>
      <w:b/>
      <w:sz w:val="28"/>
    </w:rPr>
  </w:style>
  <w:style w:type="character" w:customStyle="1" w:styleId="60">
    <w:name w:val="标题 5 字符"/>
    <w:basedOn w:val="50"/>
    <w:link w:val="6"/>
    <w:qFormat/>
    <w:uiPriority w:val="0"/>
    <w:rPr>
      <w:b/>
      <w:sz w:val="28"/>
    </w:rPr>
  </w:style>
  <w:style w:type="character" w:customStyle="1" w:styleId="61">
    <w:name w:val="标题 6 字符"/>
    <w:basedOn w:val="50"/>
    <w:link w:val="7"/>
    <w:qFormat/>
    <w:uiPriority w:val="0"/>
    <w:rPr>
      <w:rFonts w:ascii="Arial" w:hAnsi="Arial" w:eastAsia="黑体"/>
      <w:b/>
      <w:sz w:val="24"/>
    </w:rPr>
  </w:style>
  <w:style w:type="character" w:customStyle="1" w:styleId="62">
    <w:name w:val="标题 7 字符"/>
    <w:basedOn w:val="50"/>
    <w:link w:val="8"/>
    <w:qFormat/>
    <w:uiPriority w:val="0"/>
    <w:rPr>
      <w:b/>
      <w:sz w:val="24"/>
    </w:rPr>
  </w:style>
  <w:style w:type="character" w:customStyle="1" w:styleId="63">
    <w:name w:val="标题 8 字符"/>
    <w:basedOn w:val="50"/>
    <w:link w:val="9"/>
    <w:qFormat/>
    <w:uiPriority w:val="0"/>
    <w:rPr>
      <w:rFonts w:ascii="Arial" w:hAnsi="Arial" w:eastAsia="黑体"/>
      <w:sz w:val="24"/>
    </w:rPr>
  </w:style>
  <w:style w:type="character" w:customStyle="1" w:styleId="64">
    <w:name w:val="标题 9 字符"/>
    <w:basedOn w:val="50"/>
    <w:link w:val="10"/>
    <w:qFormat/>
    <w:uiPriority w:val="0"/>
    <w:rPr>
      <w:rFonts w:ascii="Arial" w:hAnsi="Arial" w:eastAsia="黑体"/>
      <w:sz w:val="24"/>
    </w:rPr>
  </w:style>
  <w:style w:type="character" w:customStyle="1" w:styleId="65">
    <w:name w:val="纯文本 字符"/>
    <w:link w:val="26"/>
    <w:qFormat/>
    <w:uiPriority w:val="0"/>
    <w:rPr>
      <w:rFonts w:ascii="宋体" w:hAnsi="Courier New"/>
      <w:kern w:val="2"/>
      <w:sz w:val="21"/>
    </w:rPr>
  </w:style>
  <w:style w:type="character" w:customStyle="1" w:styleId="66">
    <w:name w:val="页脚 字符"/>
    <w:basedOn w:val="50"/>
    <w:link w:val="31"/>
    <w:qFormat/>
    <w:uiPriority w:val="99"/>
    <w:rPr>
      <w:kern w:val="2"/>
      <w:sz w:val="18"/>
    </w:rPr>
  </w:style>
  <w:style w:type="character" w:customStyle="1" w:styleId="67">
    <w:name w:val="页眉 字符"/>
    <w:link w:val="32"/>
    <w:qFormat/>
    <w:uiPriority w:val="99"/>
    <w:rPr>
      <w:kern w:val="2"/>
      <w:sz w:val="18"/>
    </w:rPr>
  </w:style>
  <w:style w:type="character" w:customStyle="1" w:styleId="68">
    <w:name w:val="标题 字符"/>
    <w:link w:val="45"/>
    <w:qFormat/>
    <w:uiPriority w:val="0"/>
    <w:rPr>
      <w:rFonts w:ascii="黑体" w:eastAsia="黑体"/>
      <w:snapToGrid w:val="0"/>
      <w:kern w:val="2"/>
      <w:sz w:val="28"/>
    </w:rPr>
  </w:style>
  <w:style w:type="paragraph" w:customStyle="1" w:styleId="69">
    <w:name w:val="Char Char Char1 Char Char Char Char"/>
    <w:basedOn w:val="1"/>
    <w:qFormat/>
    <w:uiPriority w:val="0"/>
    <w:rPr>
      <w:szCs w:val="21"/>
    </w:rPr>
  </w:style>
  <w:style w:type="character" w:customStyle="1" w:styleId="70">
    <w:name w:val="批注框文本 字符"/>
    <w:basedOn w:val="50"/>
    <w:link w:val="30"/>
    <w:qFormat/>
    <w:uiPriority w:val="0"/>
    <w:rPr>
      <w:kern w:val="2"/>
      <w:sz w:val="18"/>
      <w:szCs w:val="18"/>
    </w:rPr>
  </w:style>
  <w:style w:type="character" w:customStyle="1" w:styleId="71">
    <w:name w:val="正文缩进 字符"/>
    <w:link w:val="16"/>
    <w:qFormat/>
    <w:uiPriority w:val="0"/>
    <w:rPr>
      <w:rFonts w:ascii="@楷体" w:hAnsi="Symbol" w:eastAsia="楷体"/>
      <w:kern w:val="28"/>
      <w:sz w:val="15"/>
    </w:rPr>
  </w:style>
  <w:style w:type="paragraph" w:customStyle="1" w:styleId="72">
    <w:name w:val="列出段落1"/>
    <w:basedOn w:val="1"/>
    <w:link w:val="73"/>
    <w:qFormat/>
    <w:uiPriority w:val="34"/>
    <w:pPr>
      <w:ind w:firstLine="420" w:firstLineChars="200"/>
    </w:pPr>
    <w:rPr>
      <w:rFonts w:ascii="Calibri" w:hAnsi="Calibri" w:cs="Calibri"/>
      <w:szCs w:val="21"/>
    </w:rPr>
  </w:style>
  <w:style w:type="character" w:customStyle="1" w:styleId="73">
    <w:name w:val="列出段落 Char"/>
    <w:link w:val="72"/>
    <w:qFormat/>
    <w:uiPriority w:val="34"/>
    <w:rPr>
      <w:rFonts w:ascii="Calibri" w:hAnsi="Calibri" w:cs="Calibri"/>
      <w:kern w:val="2"/>
      <w:sz w:val="21"/>
      <w:szCs w:val="21"/>
    </w:rPr>
  </w:style>
  <w:style w:type="character" w:customStyle="1" w:styleId="74">
    <w:name w:val="正文文本 字符"/>
    <w:basedOn w:val="50"/>
    <w:link w:val="21"/>
    <w:qFormat/>
    <w:uiPriority w:val="0"/>
    <w:rPr>
      <w:rFonts w:ascii="宋体" w:hAnsi="宋体"/>
      <w:color w:val="0000FF"/>
      <w:kern w:val="2"/>
      <w:sz w:val="24"/>
      <w:szCs w:val="24"/>
    </w:rPr>
  </w:style>
  <w:style w:type="paragraph" w:styleId="75">
    <w:name w:val="List Paragraph"/>
    <w:basedOn w:val="1"/>
    <w:qFormat/>
    <w:uiPriority w:val="34"/>
    <w:pPr>
      <w:ind w:firstLine="420" w:firstLineChars="200"/>
    </w:pPr>
  </w:style>
  <w:style w:type="table" w:customStyle="1" w:styleId="76">
    <w:name w:val="网格型1"/>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缩进 Char"/>
    <w:qFormat/>
    <w:uiPriority w:val="0"/>
    <w:rPr>
      <w:rFonts w:ascii="@楷体" w:hAnsi="Symbol" w:eastAsia="楷体"/>
      <w:kern w:val="28"/>
      <w:sz w:val="15"/>
      <w:lang w:val="en-US" w:eastAsia="zh-CN" w:bidi="ar-SA"/>
    </w:rPr>
  </w:style>
  <w:style w:type="character" w:customStyle="1" w:styleId="78">
    <w:name w:val="文档结构图 字符1"/>
    <w:link w:val="17"/>
    <w:qFormat/>
    <w:uiPriority w:val="0"/>
    <w:rPr>
      <w:rFonts w:ascii="宋体"/>
      <w:kern w:val="2"/>
      <w:sz w:val="18"/>
      <w:szCs w:val="18"/>
    </w:rPr>
  </w:style>
  <w:style w:type="character" w:customStyle="1" w:styleId="79">
    <w:name w:val="文档结构图 字符"/>
    <w:basedOn w:val="50"/>
    <w:qFormat/>
    <w:uiPriority w:val="0"/>
    <w:rPr>
      <w:rFonts w:ascii="Microsoft YaHei UI" w:eastAsia="Microsoft YaHei UI"/>
      <w:kern w:val="2"/>
      <w:sz w:val="18"/>
      <w:szCs w:val="18"/>
    </w:rPr>
  </w:style>
  <w:style w:type="character" w:customStyle="1" w:styleId="80">
    <w:name w:val="批注文字 字符"/>
    <w:basedOn w:val="50"/>
    <w:link w:val="18"/>
    <w:qFormat/>
    <w:uiPriority w:val="0"/>
    <w:rPr>
      <w:kern w:val="2"/>
      <w:sz w:val="21"/>
    </w:rPr>
  </w:style>
  <w:style w:type="character" w:customStyle="1" w:styleId="81">
    <w:name w:val="正文文本缩进 字符"/>
    <w:basedOn w:val="50"/>
    <w:link w:val="22"/>
    <w:qFormat/>
    <w:uiPriority w:val="0"/>
    <w:rPr>
      <w:kern w:val="2"/>
      <w:sz w:val="21"/>
      <w:szCs w:val="24"/>
    </w:rPr>
  </w:style>
  <w:style w:type="character" w:customStyle="1" w:styleId="82">
    <w:name w:val="纯文本 Char"/>
    <w:qFormat/>
    <w:uiPriority w:val="0"/>
    <w:rPr>
      <w:rFonts w:ascii="宋体" w:hAnsi="Courier New"/>
      <w:kern w:val="2"/>
      <w:sz w:val="21"/>
    </w:rPr>
  </w:style>
  <w:style w:type="character" w:customStyle="1" w:styleId="83">
    <w:name w:val="日期 字符"/>
    <w:basedOn w:val="50"/>
    <w:link w:val="28"/>
    <w:qFormat/>
    <w:uiPriority w:val="0"/>
    <w:rPr>
      <w:kern w:val="2"/>
      <w:sz w:val="21"/>
    </w:rPr>
  </w:style>
  <w:style w:type="character" w:customStyle="1" w:styleId="84">
    <w:name w:val="正文文本缩进 2 字符"/>
    <w:basedOn w:val="50"/>
    <w:link w:val="29"/>
    <w:qFormat/>
    <w:uiPriority w:val="0"/>
    <w:rPr>
      <w:rFonts w:ascii="宋体" w:hAnsi="宋体"/>
      <w:color w:val="FF0000"/>
      <w:kern w:val="2"/>
      <w:sz w:val="24"/>
      <w:szCs w:val="24"/>
    </w:rPr>
  </w:style>
  <w:style w:type="character" w:customStyle="1" w:styleId="85">
    <w:name w:val="页脚 Char"/>
    <w:qFormat/>
    <w:uiPriority w:val="0"/>
    <w:rPr>
      <w:kern w:val="2"/>
      <w:sz w:val="18"/>
      <w:szCs w:val="18"/>
      <w:lang w:val="en-US" w:eastAsia="zh-CN"/>
    </w:rPr>
  </w:style>
  <w:style w:type="character" w:customStyle="1" w:styleId="86">
    <w:name w:val="正文文本缩进 3 字符"/>
    <w:basedOn w:val="50"/>
    <w:link w:val="37"/>
    <w:qFormat/>
    <w:uiPriority w:val="0"/>
    <w:rPr>
      <w:rFonts w:ascii="宋体"/>
      <w:kern w:val="2"/>
      <w:sz w:val="24"/>
      <w:szCs w:val="24"/>
    </w:rPr>
  </w:style>
  <w:style w:type="character" w:customStyle="1" w:styleId="87">
    <w:name w:val="正文文本 2 字符"/>
    <w:basedOn w:val="50"/>
    <w:link w:val="40"/>
    <w:qFormat/>
    <w:uiPriority w:val="0"/>
    <w:rPr>
      <w:rFonts w:ascii="宋体"/>
      <w:b/>
      <w:bCs/>
      <w:color w:val="0000FF"/>
      <w:kern w:val="2"/>
      <w:sz w:val="30"/>
      <w:szCs w:val="24"/>
    </w:rPr>
  </w:style>
  <w:style w:type="character" w:customStyle="1" w:styleId="88">
    <w:name w:val="HTML 预设格式 字符1"/>
    <w:link w:val="42"/>
    <w:qFormat/>
    <w:uiPriority w:val="99"/>
    <w:rPr>
      <w:rFonts w:ascii="宋体" w:hAnsi="宋体" w:cs="宋体"/>
      <w:sz w:val="24"/>
      <w:szCs w:val="24"/>
    </w:rPr>
  </w:style>
  <w:style w:type="character" w:customStyle="1" w:styleId="89">
    <w:name w:val="HTML 预设格式 字符"/>
    <w:basedOn w:val="50"/>
    <w:semiHidden/>
    <w:qFormat/>
    <w:uiPriority w:val="99"/>
    <w:rPr>
      <w:rFonts w:ascii="Courier New" w:hAnsi="Courier New" w:cs="Courier New"/>
      <w:kern w:val="2"/>
    </w:rPr>
  </w:style>
  <w:style w:type="character" w:customStyle="1" w:styleId="90">
    <w:name w:val="批注主题 字符"/>
    <w:basedOn w:val="80"/>
    <w:link w:val="46"/>
    <w:semiHidden/>
    <w:qFormat/>
    <w:uiPriority w:val="0"/>
    <w:rPr>
      <w:b/>
      <w:bCs/>
      <w:kern w:val="2"/>
      <w:sz w:val="21"/>
      <w:szCs w:val="24"/>
    </w:rPr>
  </w:style>
  <w:style w:type="character" w:customStyle="1" w:styleId="91">
    <w:name w:val="txt41"/>
    <w:qFormat/>
    <w:uiPriority w:val="0"/>
    <w:rPr>
      <w:b/>
      <w:bCs/>
      <w:color w:val="000000"/>
      <w:sz w:val="29"/>
      <w:szCs w:val="29"/>
    </w:rPr>
  </w:style>
  <w:style w:type="character" w:customStyle="1" w:styleId="92">
    <w:name w:val="样式12 Char"/>
    <w:link w:val="93"/>
    <w:qFormat/>
    <w:locked/>
    <w:uiPriority w:val="0"/>
    <w:rPr>
      <w:kern w:val="2"/>
      <w:sz w:val="24"/>
    </w:rPr>
  </w:style>
  <w:style w:type="paragraph" w:customStyle="1" w:styleId="93">
    <w:name w:val="样式12"/>
    <w:basedOn w:val="1"/>
    <w:link w:val="92"/>
    <w:qFormat/>
    <w:uiPriority w:val="0"/>
    <w:pPr>
      <w:tabs>
        <w:tab w:val="left" w:pos="533"/>
      </w:tabs>
      <w:ind w:left="420" w:hanging="420"/>
    </w:pPr>
    <w:rPr>
      <w:sz w:val="24"/>
    </w:rPr>
  </w:style>
  <w:style w:type="character" w:customStyle="1" w:styleId="94">
    <w:name w:val="txt91"/>
    <w:qFormat/>
    <w:uiPriority w:val="0"/>
    <w:rPr>
      <w:b/>
      <w:bCs/>
      <w:color w:val="330066"/>
      <w:sz w:val="22"/>
      <w:szCs w:val="22"/>
    </w:rPr>
  </w:style>
  <w:style w:type="character" w:customStyle="1" w:styleId="95">
    <w:name w:val="txt14"/>
    <w:qFormat/>
    <w:uiPriority w:val="0"/>
    <w:rPr>
      <w:color w:val="000000"/>
      <w:sz w:val="29"/>
      <w:szCs w:val="29"/>
    </w:rPr>
  </w:style>
  <w:style w:type="paragraph" w:customStyle="1" w:styleId="96">
    <w:name w:val="大标题"/>
    <w:basedOn w:val="1"/>
    <w:qFormat/>
    <w:uiPriority w:val="0"/>
    <w:pPr>
      <w:jc w:val="center"/>
    </w:pPr>
    <w:rPr>
      <w:rFonts w:ascii="黑体" w:eastAsia="黑体" w:cs="宋体"/>
      <w:b/>
      <w:bCs/>
      <w:sz w:val="32"/>
    </w:rPr>
  </w:style>
  <w:style w:type="paragraph" w:customStyle="1" w:styleId="97">
    <w:name w:val="4 Char"/>
    <w:basedOn w:val="1"/>
    <w:qFormat/>
    <w:uiPriority w:val="0"/>
    <w:rPr>
      <w:szCs w:val="24"/>
    </w:rPr>
  </w:style>
  <w:style w:type="paragraph" w:customStyle="1" w:styleId="98">
    <w:name w:val="Char Char Char1"/>
    <w:basedOn w:val="1"/>
    <w:qFormat/>
    <w:uiPriority w:val="0"/>
    <w:rPr>
      <w:szCs w:val="24"/>
    </w:rPr>
  </w:style>
  <w:style w:type="paragraph" w:customStyle="1" w:styleId="99">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0">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1">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2">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3">
    <w:name w:val="Char"/>
    <w:basedOn w:val="1"/>
    <w:qFormat/>
    <w:uiPriority w:val="0"/>
    <w:rPr>
      <w:szCs w:val="21"/>
    </w:rPr>
  </w:style>
  <w:style w:type="paragraph" w:customStyle="1" w:styleId="104">
    <w:name w:val="列出段落2"/>
    <w:basedOn w:val="1"/>
    <w:qFormat/>
    <w:uiPriority w:val="0"/>
    <w:pPr>
      <w:ind w:firstLine="420" w:firstLineChars="200"/>
    </w:pPr>
    <w:rPr>
      <w:rFonts w:ascii="Calibri" w:hAnsi="Calibri" w:cs="Calibri"/>
      <w:szCs w:val="21"/>
    </w:rPr>
  </w:style>
  <w:style w:type="paragraph" w:customStyle="1" w:styleId="105">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6">
    <w:name w:val="Char1"/>
    <w:basedOn w:val="1"/>
    <w:qFormat/>
    <w:uiPriority w:val="0"/>
    <w:rPr>
      <w:szCs w:val="24"/>
    </w:rPr>
  </w:style>
  <w:style w:type="paragraph" w:customStyle="1" w:styleId="107">
    <w:name w:val="Char Char Char Char"/>
    <w:basedOn w:val="1"/>
    <w:qFormat/>
    <w:uiPriority w:val="0"/>
    <w:pPr>
      <w:adjustRightInd w:val="0"/>
      <w:spacing w:line="360" w:lineRule="auto"/>
    </w:pPr>
    <w:rPr>
      <w:rFonts w:ascii="Tahoma" w:hAnsi="Tahoma"/>
      <w:kern w:val="0"/>
      <w:sz w:val="24"/>
    </w:rPr>
  </w:style>
  <w:style w:type="paragraph" w:customStyle="1" w:styleId="108">
    <w:name w:val="内容文字"/>
    <w:basedOn w:val="1"/>
    <w:qFormat/>
    <w:uiPriority w:val="0"/>
    <w:pPr>
      <w:spacing w:line="360" w:lineRule="exact"/>
    </w:pPr>
    <w:rPr>
      <w:rFonts w:ascii="宋体"/>
      <w:sz w:val="24"/>
    </w:rPr>
  </w:style>
  <w:style w:type="paragraph" w:customStyle="1" w:styleId="109">
    <w:name w:val="tablecontents"/>
    <w:basedOn w:val="1"/>
    <w:qFormat/>
    <w:uiPriority w:val="0"/>
    <w:pPr>
      <w:widowControl/>
      <w:spacing w:after="60"/>
    </w:pPr>
    <w:rPr>
      <w:rFonts w:ascii="Arial" w:hAnsi="Arial"/>
      <w:kern w:val="0"/>
      <w:sz w:val="20"/>
    </w:rPr>
  </w:style>
  <w:style w:type="paragraph" w:customStyle="1" w:styleId="110">
    <w:name w:val="5 Char Char Char Char"/>
    <w:basedOn w:val="1"/>
    <w:qFormat/>
    <w:uiPriority w:val="0"/>
    <w:pPr>
      <w:keepNext/>
      <w:keepLines/>
      <w:spacing w:line="360" w:lineRule="auto"/>
      <w:ind w:firstLine="480" w:firstLineChars="200"/>
    </w:pPr>
    <w:rPr>
      <w:kern w:val="0"/>
      <w:sz w:val="24"/>
    </w:rPr>
  </w:style>
  <w:style w:type="paragraph" w:customStyle="1" w:styleId="111">
    <w:name w:val="Char Char Char Char Char Char Char"/>
    <w:basedOn w:val="1"/>
    <w:qFormat/>
    <w:uiPriority w:val="0"/>
    <w:pPr>
      <w:adjustRightInd w:val="0"/>
      <w:spacing w:line="360" w:lineRule="auto"/>
    </w:pPr>
    <w:rPr>
      <w:rFonts w:ascii="Tahoma" w:hAnsi="Tahoma"/>
      <w:kern w:val="0"/>
      <w:sz w:val="24"/>
    </w:rPr>
  </w:style>
  <w:style w:type="character" w:customStyle="1" w:styleId="112">
    <w:name w:val="readmail_locationtip"/>
    <w:qFormat/>
    <w:uiPriority w:val="0"/>
  </w:style>
  <w:style w:type="table" w:customStyle="1" w:styleId="113">
    <w:name w:val="TableGrid"/>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4">
    <w:name w:val="TOC 11"/>
    <w:basedOn w:val="1"/>
    <w:next w:val="1"/>
    <w:qFormat/>
    <w:locked/>
    <w:uiPriority w:val="39"/>
    <w:rPr>
      <w:szCs w:val="21"/>
    </w:rPr>
  </w:style>
  <w:style w:type="character" w:customStyle="1" w:styleId="115">
    <w:name w:val="副标题 字符"/>
    <w:basedOn w:val="50"/>
    <w:link w:val="35"/>
    <w:qFormat/>
    <w:uiPriority w:val="0"/>
    <w:rPr>
      <w:rFonts w:ascii="Cambria" w:hAnsi="Cambria"/>
      <w:b/>
      <w:bCs/>
      <w:kern w:val="28"/>
      <w:sz w:val="32"/>
      <w:szCs w:val="32"/>
    </w:rPr>
  </w:style>
  <w:style w:type="character" w:customStyle="1" w:styleId="116">
    <w:name w:val="技术规范书正文 Char"/>
    <w:link w:val="117"/>
    <w:qFormat/>
    <w:locked/>
    <w:uiPriority w:val="0"/>
    <w:rPr>
      <w:kern w:val="2"/>
      <w:sz w:val="24"/>
      <w:szCs w:val="24"/>
    </w:rPr>
  </w:style>
  <w:style w:type="paragraph" w:customStyle="1" w:styleId="117">
    <w:name w:val="技术规范书正文"/>
    <w:link w:val="116"/>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8">
    <w:name w:val="TOC 41"/>
    <w:basedOn w:val="1"/>
    <w:next w:val="1"/>
    <w:qFormat/>
    <w:locked/>
    <w:uiPriority w:val="0"/>
    <w:pPr>
      <w:ind w:left="1260" w:leftChars="600"/>
    </w:pPr>
    <w:rPr>
      <w:szCs w:val="21"/>
    </w:rPr>
  </w:style>
  <w:style w:type="paragraph" w:customStyle="1" w:styleId="119">
    <w:name w:val="TOC 51"/>
    <w:basedOn w:val="1"/>
    <w:next w:val="1"/>
    <w:qFormat/>
    <w:locked/>
    <w:uiPriority w:val="0"/>
    <w:pPr>
      <w:ind w:left="1680" w:leftChars="800"/>
    </w:pPr>
    <w:rPr>
      <w:szCs w:val="21"/>
    </w:rPr>
  </w:style>
  <w:style w:type="paragraph" w:customStyle="1" w:styleId="120">
    <w:name w:val="TOC 71"/>
    <w:basedOn w:val="1"/>
    <w:next w:val="1"/>
    <w:qFormat/>
    <w:locked/>
    <w:uiPriority w:val="0"/>
    <w:pPr>
      <w:ind w:left="2520" w:leftChars="1200"/>
    </w:pPr>
    <w:rPr>
      <w:szCs w:val="21"/>
    </w:rPr>
  </w:style>
  <w:style w:type="paragraph" w:customStyle="1" w:styleId="121">
    <w:name w:val="TOC 21"/>
    <w:basedOn w:val="1"/>
    <w:next w:val="1"/>
    <w:qFormat/>
    <w:locked/>
    <w:uiPriority w:val="0"/>
    <w:pPr>
      <w:ind w:left="420" w:leftChars="200"/>
    </w:pPr>
    <w:rPr>
      <w:szCs w:val="21"/>
    </w:rPr>
  </w:style>
  <w:style w:type="paragraph" w:customStyle="1" w:styleId="122">
    <w:name w:val="TOC 61"/>
    <w:basedOn w:val="1"/>
    <w:next w:val="1"/>
    <w:qFormat/>
    <w:locked/>
    <w:uiPriority w:val="0"/>
    <w:pPr>
      <w:ind w:left="2100" w:leftChars="1000"/>
    </w:pPr>
    <w:rPr>
      <w:szCs w:val="21"/>
    </w:rPr>
  </w:style>
  <w:style w:type="paragraph" w:customStyle="1" w:styleId="123">
    <w:name w:val="TOC 31"/>
    <w:basedOn w:val="1"/>
    <w:next w:val="1"/>
    <w:qFormat/>
    <w:locked/>
    <w:uiPriority w:val="0"/>
    <w:pPr>
      <w:ind w:left="840" w:leftChars="400"/>
    </w:pPr>
    <w:rPr>
      <w:szCs w:val="21"/>
    </w:rPr>
  </w:style>
  <w:style w:type="paragraph" w:customStyle="1" w:styleId="124">
    <w:name w:val="TOC 91"/>
    <w:basedOn w:val="1"/>
    <w:next w:val="1"/>
    <w:qFormat/>
    <w:locked/>
    <w:uiPriority w:val="0"/>
    <w:pPr>
      <w:ind w:left="3360" w:leftChars="1600"/>
    </w:pPr>
    <w:rPr>
      <w:szCs w:val="21"/>
    </w:rPr>
  </w:style>
  <w:style w:type="paragraph" w:customStyle="1" w:styleId="125">
    <w:name w:val="TOC 81"/>
    <w:basedOn w:val="1"/>
    <w:next w:val="1"/>
    <w:qFormat/>
    <w:locked/>
    <w:uiPriority w:val="0"/>
    <w:pPr>
      <w:ind w:left="2940" w:leftChars="1400"/>
    </w:pPr>
    <w:rPr>
      <w:szCs w:val="21"/>
    </w:rPr>
  </w:style>
  <w:style w:type="paragraph" w:customStyle="1" w:styleId="126">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7">
    <w:name w:val="正文1"/>
    <w:basedOn w:val="1"/>
    <w:link w:val="172"/>
    <w:qFormat/>
    <w:uiPriority w:val="0"/>
    <w:pPr>
      <w:adjustRightInd w:val="0"/>
      <w:spacing w:line="360" w:lineRule="atLeast"/>
      <w:jc w:val="left"/>
      <w:textAlignment w:val="baseline"/>
    </w:pPr>
    <w:rPr>
      <w:rFonts w:ascii="宋体"/>
      <w:kern w:val="0"/>
      <w:sz w:val="24"/>
    </w:rPr>
  </w:style>
  <w:style w:type="paragraph" w:customStyle="1" w:styleId="128">
    <w:name w:val="样式1"/>
    <w:basedOn w:val="1"/>
    <w:link w:val="171"/>
    <w:qFormat/>
    <w:uiPriority w:val="0"/>
    <w:pPr>
      <w:adjustRightInd w:val="0"/>
      <w:spacing w:line="420" w:lineRule="auto"/>
      <w:jc w:val="center"/>
      <w:textAlignment w:val="baseline"/>
    </w:pPr>
    <w:rPr>
      <w:rFonts w:ascii="宋体"/>
      <w:kern w:val="0"/>
      <w:sz w:val="24"/>
      <w:szCs w:val="24"/>
    </w:rPr>
  </w:style>
  <w:style w:type="paragraph" w:customStyle="1" w:styleId="129">
    <w:name w:val="Char Char1 Char"/>
    <w:basedOn w:val="1"/>
    <w:qFormat/>
    <w:uiPriority w:val="0"/>
    <w:rPr>
      <w:rFonts w:ascii="宋体"/>
      <w:kern w:val="0"/>
      <w:sz w:val="24"/>
    </w:rPr>
  </w:style>
  <w:style w:type="paragraph" w:customStyle="1" w:styleId="130">
    <w:name w:val="纯文本1"/>
    <w:basedOn w:val="1"/>
    <w:qFormat/>
    <w:uiPriority w:val="0"/>
    <w:rPr>
      <w:rFonts w:ascii="宋体" w:hAnsi="Courier New"/>
    </w:rPr>
  </w:style>
  <w:style w:type="paragraph" w:customStyle="1" w:styleId="131">
    <w:name w:val="p0"/>
    <w:basedOn w:val="1"/>
    <w:qFormat/>
    <w:uiPriority w:val="0"/>
    <w:pPr>
      <w:widowControl/>
    </w:pPr>
    <w:rPr>
      <w:kern w:val="0"/>
      <w:szCs w:val="21"/>
    </w:rPr>
  </w:style>
  <w:style w:type="paragraph" w:customStyle="1" w:styleId="132">
    <w:name w:val="Char Char Char Char1"/>
    <w:basedOn w:val="1"/>
    <w:qFormat/>
    <w:uiPriority w:val="0"/>
    <w:rPr>
      <w:szCs w:val="24"/>
    </w:rPr>
  </w:style>
  <w:style w:type="character" w:customStyle="1" w:styleId="133">
    <w:name w:val="正文文本首行缩进 字符"/>
    <w:basedOn w:val="74"/>
    <w:link w:val="47"/>
    <w:qFormat/>
    <w:uiPriority w:val="0"/>
    <w:rPr>
      <w:rFonts w:ascii="宋体" w:hAnsi="宋体"/>
      <w:color w:val="0000FF"/>
      <w:kern w:val="2"/>
      <w:sz w:val="24"/>
      <w:szCs w:val="24"/>
    </w:rPr>
  </w:style>
  <w:style w:type="character" w:customStyle="1" w:styleId="134">
    <w:name w:val="标题 1 Char1"/>
    <w:basedOn w:val="50"/>
    <w:qFormat/>
    <w:uiPriority w:val="0"/>
    <w:rPr>
      <w:rFonts w:eastAsia="宋体"/>
      <w:b/>
      <w:bCs/>
      <w:color w:val="000000"/>
      <w:kern w:val="44"/>
      <w:sz w:val="24"/>
      <w:szCs w:val="32"/>
      <w:lang w:val="en-US" w:eastAsia="zh-CN" w:bidi="ar-SA"/>
    </w:rPr>
  </w:style>
  <w:style w:type="character" w:customStyle="1" w:styleId="135">
    <w:name w:val="标题 2 Char1"/>
    <w:basedOn w:val="50"/>
    <w:qFormat/>
    <w:uiPriority w:val="0"/>
    <w:rPr>
      <w:rFonts w:eastAsia="宋体"/>
      <w:b/>
      <w:bCs/>
      <w:kern w:val="2"/>
      <w:sz w:val="24"/>
      <w:lang w:val="en-US" w:eastAsia="zh-CN" w:bidi="ar-SA"/>
    </w:rPr>
  </w:style>
  <w:style w:type="paragraph" w:customStyle="1" w:styleId="136">
    <w:name w:val="Char Char Char"/>
    <w:basedOn w:val="1"/>
    <w:qFormat/>
    <w:uiPriority w:val="0"/>
    <w:rPr>
      <w:sz w:val="24"/>
      <w:szCs w:val="24"/>
    </w:rPr>
  </w:style>
  <w:style w:type="paragraph" w:customStyle="1" w:styleId="137">
    <w:name w:val="Char1 Char Char Char"/>
    <w:basedOn w:val="1"/>
    <w:qFormat/>
    <w:uiPriority w:val="0"/>
    <w:rPr>
      <w:sz w:val="24"/>
      <w:szCs w:val="24"/>
    </w:rPr>
  </w:style>
  <w:style w:type="paragraph" w:customStyle="1" w:styleId="138">
    <w:name w:val="Char Char Char Char Char Char Char Char Char Char Char Char"/>
    <w:basedOn w:val="1"/>
    <w:qFormat/>
    <w:uiPriority w:val="0"/>
    <w:rPr>
      <w:szCs w:val="24"/>
    </w:rPr>
  </w:style>
  <w:style w:type="paragraph" w:customStyle="1" w:styleId="139">
    <w:name w:val="Char Char2 Char Char Char Char Char Char Char Char Char1"/>
    <w:basedOn w:val="1"/>
    <w:qFormat/>
    <w:uiPriority w:val="0"/>
    <w:rPr>
      <w:sz w:val="24"/>
      <w:szCs w:val="24"/>
    </w:rPr>
  </w:style>
  <w:style w:type="paragraph" w:customStyle="1" w:styleId="140">
    <w:name w:val="Char Char"/>
    <w:basedOn w:val="1"/>
    <w:qFormat/>
    <w:uiPriority w:val="0"/>
    <w:rPr>
      <w:sz w:val="24"/>
      <w:szCs w:val="24"/>
    </w:rPr>
  </w:style>
  <w:style w:type="paragraph" w:customStyle="1" w:styleId="141">
    <w:name w:val="表格"/>
    <w:basedOn w:val="1"/>
    <w:qFormat/>
    <w:uiPriority w:val="0"/>
    <w:pPr>
      <w:adjustRightInd w:val="0"/>
      <w:spacing w:before="60" w:after="60"/>
      <w:jc w:val="center"/>
      <w:textAlignment w:val="baseline"/>
    </w:pPr>
    <w:rPr>
      <w:rFonts w:ascii="宋体"/>
      <w:kern w:val="0"/>
      <w:sz w:val="24"/>
    </w:rPr>
  </w:style>
  <w:style w:type="paragraph" w:customStyle="1" w:styleId="142">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3">
    <w:name w:val="样式2"/>
    <w:basedOn w:val="1"/>
    <w:link w:val="167"/>
    <w:qFormat/>
    <w:uiPriority w:val="0"/>
    <w:pPr>
      <w:adjustRightInd w:val="0"/>
      <w:spacing w:line="410" w:lineRule="atLeast"/>
      <w:jc w:val="left"/>
      <w:textAlignment w:val="baseline"/>
    </w:pPr>
    <w:rPr>
      <w:kern w:val="0"/>
      <w:sz w:val="24"/>
    </w:rPr>
  </w:style>
  <w:style w:type="paragraph" w:customStyle="1" w:styleId="144">
    <w:name w:val="1-表内"/>
    <w:basedOn w:val="1"/>
    <w:qFormat/>
    <w:uiPriority w:val="0"/>
    <w:rPr>
      <w:rFonts w:ascii="宋体" w:hAnsi="宋体"/>
      <w:szCs w:val="21"/>
    </w:rPr>
  </w:style>
  <w:style w:type="paragraph" w:customStyle="1" w:styleId="145">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6">
    <w:name w:val="Char Char Char Char Char Char Char Char Char Char Char Char1 Char Char Char Char"/>
    <w:basedOn w:val="1"/>
    <w:qFormat/>
    <w:uiPriority w:val="0"/>
    <w:rPr>
      <w:szCs w:val="24"/>
    </w:rPr>
  </w:style>
  <w:style w:type="character" w:customStyle="1" w:styleId="147">
    <w:name w:val="章节标题 Char Char"/>
    <w:basedOn w:val="50"/>
    <w:qFormat/>
    <w:uiPriority w:val="0"/>
    <w:rPr>
      <w:kern w:val="44"/>
      <w:sz w:val="44"/>
      <w:szCs w:val="44"/>
    </w:rPr>
  </w:style>
  <w:style w:type="paragraph" w:customStyle="1" w:styleId="148">
    <w:name w:val="Char Char Char Char Char Char1"/>
    <w:basedOn w:val="1"/>
    <w:qFormat/>
    <w:uiPriority w:val="0"/>
    <w:rPr>
      <w:szCs w:val="24"/>
    </w:rPr>
  </w:style>
  <w:style w:type="paragraph" w:customStyle="1" w:styleId="149">
    <w:name w:val="报告正文"/>
    <w:basedOn w:val="1"/>
    <w:qFormat/>
    <w:uiPriority w:val="0"/>
    <w:pPr>
      <w:spacing w:line="400" w:lineRule="exact"/>
      <w:ind w:firstLine="482"/>
    </w:pPr>
    <w:rPr>
      <w:lang w:bidi="he-IL"/>
    </w:rPr>
  </w:style>
  <w:style w:type="paragraph" w:customStyle="1" w:styleId="150">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1">
    <w:name w:val="Char Char Char2"/>
    <w:basedOn w:val="1"/>
    <w:qFormat/>
    <w:uiPriority w:val="0"/>
    <w:rPr>
      <w:szCs w:val="24"/>
    </w:rPr>
  </w:style>
  <w:style w:type="paragraph" w:customStyle="1" w:styleId="152">
    <w:name w:val="默认段落字体 Para Char Char Char Char"/>
    <w:basedOn w:val="1"/>
    <w:qFormat/>
    <w:uiPriority w:val="0"/>
    <w:rPr>
      <w:szCs w:val="24"/>
    </w:rPr>
  </w:style>
  <w:style w:type="paragraph" w:customStyle="1" w:styleId="153">
    <w:name w:val="Char Char1"/>
    <w:basedOn w:val="1"/>
    <w:qFormat/>
    <w:uiPriority w:val="0"/>
    <w:pPr>
      <w:adjustRightInd w:val="0"/>
      <w:spacing w:line="360" w:lineRule="atLeast"/>
      <w:jc w:val="left"/>
      <w:textAlignment w:val="baseline"/>
    </w:pPr>
    <w:rPr>
      <w:kern w:val="0"/>
      <w:sz w:val="24"/>
    </w:rPr>
  </w:style>
  <w:style w:type="character" w:customStyle="1" w:styleId="154">
    <w:name w:val="章节标题 Char"/>
    <w:qFormat/>
    <w:uiPriority w:val="0"/>
    <w:rPr>
      <w:rFonts w:eastAsia="宋体"/>
      <w:b/>
      <w:bCs/>
      <w:kern w:val="44"/>
      <w:sz w:val="44"/>
      <w:szCs w:val="44"/>
      <w:lang w:val="en-US" w:eastAsia="zh-CN" w:bidi="ar-SA"/>
    </w:rPr>
  </w:style>
  <w:style w:type="character" w:customStyle="1" w:styleId="155">
    <w:name w:val="标题 2 Char"/>
    <w:qFormat/>
    <w:uiPriority w:val="0"/>
    <w:rPr>
      <w:rFonts w:ascii="Arial" w:hAnsi="Arial" w:eastAsia="黑体"/>
      <w:b/>
      <w:bCs/>
      <w:kern w:val="2"/>
      <w:sz w:val="32"/>
      <w:szCs w:val="32"/>
      <w:lang w:val="en-US" w:eastAsia="zh-CN" w:bidi="ar-SA"/>
    </w:rPr>
  </w:style>
  <w:style w:type="character" w:customStyle="1" w:styleId="156">
    <w:name w:val="标题 3 Char"/>
    <w:qFormat/>
    <w:uiPriority w:val="0"/>
    <w:rPr>
      <w:rFonts w:eastAsia="宋体"/>
      <w:b/>
      <w:bCs/>
      <w:kern w:val="2"/>
      <w:sz w:val="32"/>
      <w:szCs w:val="32"/>
      <w:lang w:val="en-US" w:eastAsia="zh-CN" w:bidi="ar-SA"/>
    </w:rPr>
  </w:style>
  <w:style w:type="character" w:customStyle="1" w:styleId="157">
    <w:name w:val="标题 4 Char"/>
    <w:qFormat/>
    <w:uiPriority w:val="0"/>
    <w:rPr>
      <w:rFonts w:ascii="Arial" w:hAnsi="Arial" w:eastAsia="黑体"/>
      <w:b/>
      <w:bCs/>
      <w:kern w:val="2"/>
      <w:sz w:val="28"/>
      <w:szCs w:val="28"/>
      <w:lang w:val="en-US" w:eastAsia="zh-CN" w:bidi="ar-SA"/>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标题 5 Char"/>
    <w:qFormat/>
    <w:uiPriority w:val="0"/>
    <w:rPr>
      <w:rFonts w:ascii="小标宋" w:eastAsia="宋体"/>
      <w:kern w:val="2"/>
      <w:sz w:val="24"/>
      <w:szCs w:val="24"/>
      <w:lang w:val="en-US" w:eastAsia="zh-CN" w:bidi="he-IL"/>
    </w:rPr>
  </w:style>
  <w:style w:type="character" w:customStyle="1" w:styleId="160">
    <w:name w:val="标题 6 Char"/>
    <w:qFormat/>
    <w:uiPriority w:val="0"/>
    <w:rPr>
      <w:rFonts w:ascii="Arial" w:hAnsi="Arial" w:eastAsia="黑体"/>
      <w:kern w:val="2"/>
      <w:sz w:val="24"/>
      <w:szCs w:val="24"/>
      <w:lang w:val="en-US" w:eastAsia="zh-CN" w:bidi="he-IL"/>
    </w:rPr>
  </w:style>
  <w:style w:type="character" w:customStyle="1" w:styleId="161">
    <w:name w:val="标题 7 Char"/>
    <w:qFormat/>
    <w:uiPriority w:val="0"/>
    <w:rPr>
      <w:rFonts w:ascii="宋体" w:eastAsia="宋体"/>
      <w:kern w:val="2"/>
      <w:sz w:val="24"/>
      <w:szCs w:val="24"/>
      <w:lang w:val="en-US" w:eastAsia="zh-CN" w:bidi="he-IL"/>
    </w:rPr>
  </w:style>
  <w:style w:type="character" w:customStyle="1" w:styleId="162">
    <w:name w:val="标题 9 Char"/>
    <w:qFormat/>
    <w:uiPriority w:val="0"/>
    <w:rPr>
      <w:rFonts w:ascii="Arial" w:hAnsi="Arial" w:eastAsia="黑体"/>
      <w:kern w:val="2"/>
      <w:sz w:val="21"/>
      <w:szCs w:val="21"/>
      <w:lang w:val="en-US" w:eastAsia="zh-CN" w:bidi="ar-SA"/>
    </w:rPr>
  </w:style>
  <w:style w:type="character" w:customStyle="1" w:styleId="163">
    <w:name w:val="日期 Char"/>
    <w:qFormat/>
    <w:uiPriority w:val="0"/>
    <w:rPr>
      <w:rFonts w:eastAsia="宋体"/>
      <w:kern w:val="2"/>
      <w:sz w:val="21"/>
      <w:szCs w:val="24"/>
      <w:lang w:val="en-US" w:eastAsia="zh-CN" w:bidi="ar-SA"/>
    </w:rPr>
  </w:style>
  <w:style w:type="character" w:customStyle="1" w:styleId="164">
    <w:name w:val="页眉 Char"/>
    <w:qFormat/>
    <w:uiPriority w:val="0"/>
    <w:rPr>
      <w:rFonts w:eastAsia="宋体"/>
      <w:kern w:val="2"/>
      <w:sz w:val="18"/>
      <w:szCs w:val="18"/>
      <w:lang w:val="en-US" w:eastAsia="zh-CN" w:bidi="ar-SA"/>
    </w:rPr>
  </w:style>
  <w:style w:type="character" w:customStyle="1" w:styleId="165">
    <w:name w:val="文档结构图 Char"/>
    <w:qFormat/>
    <w:uiPriority w:val="0"/>
    <w:rPr>
      <w:rFonts w:eastAsia="宋体"/>
      <w:sz w:val="21"/>
      <w:szCs w:val="21"/>
      <w:lang w:val="zh-CN" w:eastAsia="zh-CN" w:bidi="ar-SA"/>
    </w:rPr>
  </w:style>
  <w:style w:type="character" w:customStyle="1" w:styleId="166">
    <w:name w:val="正文文本 Char"/>
    <w:qFormat/>
    <w:uiPriority w:val="0"/>
    <w:rPr>
      <w:rFonts w:eastAsia="宋体"/>
      <w:sz w:val="24"/>
      <w:lang w:val="zh-CN" w:eastAsia="zh-CN" w:bidi="ar-SA"/>
    </w:rPr>
  </w:style>
  <w:style w:type="character" w:customStyle="1" w:styleId="167">
    <w:name w:val="样式2 Char1"/>
    <w:link w:val="143"/>
    <w:qFormat/>
    <w:uiPriority w:val="0"/>
    <w:rPr>
      <w:sz w:val="24"/>
    </w:rPr>
  </w:style>
  <w:style w:type="character" w:customStyle="1" w:styleId="168">
    <w:name w:val="正文文本缩进 Char"/>
    <w:qFormat/>
    <w:uiPriority w:val="0"/>
    <w:rPr>
      <w:rFonts w:eastAsia="宋体"/>
      <w:kern w:val="2"/>
      <w:sz w:val="21"/>
      <w:szCs w:val="24"/>
      <w:lang w:val="en-US" w:eastAsia="zh-CN" w:bidi="ar-SA"/>
    </w:rPr>
  </w:style>
  <w:style w:type="paragraph" w:customStyle="1" w:styleId="169">
    <w:name w:val="样式"/>
    <w:link w:val="17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0">
    <w:name w:val="样式 Char"/>
    <w:link w:val="169"/>
    <w:qFormat/>
    <w:uiPriority w:val="0"/>
    <w:rPr>
      <w:rFonts w:ascii="宋体" w:hAnsi="宋体" w:cs="宋体"/>
      <w:sz w:val="24"/>
      <w:szCs w:val="24"/>
    </w:rPr>
  </w:style>
  <w:style w:type="character" w:customStyle="1" w:styleId="171">
    <w:name w:val="样式1 Char"/>
    <w:link w:val="128"/>
    <w:qFormat/>
    <w:uiPriority w:val="0"/>
    <w:rPr>
      <w:rFonts w:ascii="宋体"/>
      <w:sz w:val="24"/>
      <w:szCs w:val="24"/>
    </w:rPr>
  </w:style>
  <w:style w:type="character" w:customStyle="1" w:styleId="172">
    <w:name w:val="正文1 Char"/>
    <w:link w:val="127"/>
    <w:qFormat/>
    <w:uiPriority w:val="0"/>
    <w:rPr>
      <w:rFonts w:ascii="宋体"/>
      <w:sz w:val="24"/>
    </w:rPr>
  </w:style>
  <w:style w:type="character" w:customStyle="1" w:styleId="173">
    <w:name w:val="批注框文本 Char"/>
    <w:qFormat/>
    <w:uiPriority w:val="0"/>
    <w:rPr>
      <w:rFonts w:eastAsia="宋体"/>
      <w:kern w:val="2"/>
      <w:sz w:val="18"/>
      <w:szCs w:val="18"/>
      <w:lang w:val="en-US" w:eastAsia="zh-CN" w:bidi="ar-SA"/>
    </w:rPr>
  </w:style>
  <w:style w:type="character" w:customStyle="1" w:styleId="174">
    <w:name w:val="正文文本缩进 2 Char"/>
    <w:link w:val="175"/>
    <w:qFormat/>
    <w:uiPriority w:val="0"/>
    <w:rPr>
      <w:sz w:val="24"/>
    </w:rPr>
  </w:style>
  <w:style w:type="paragraph" w:customStyle="1" w:styleId="175">
    <w:name w:val="正文文本缩进 21"/>
    <w:basedOn w:val="1"/>
    <w:link w:val="174"/>
    <w:qFormat/>
    <w:uiPriority w:val="0"/>
    <w:pPr>
      <w:ind w:firstLine="840"/>
    </w:pPr>
    <w:rPr>
      <w:kern w:val="0"/>
      <w:sz w:val="24"/>
    </w:rPr>
  </w:style>
  <w:style w:type="character" w:customStyle="1" w:styleId="176">
    <w:name w:val="标书正文 Char Char"/>
    <w:link w:val="177"/>
    <w:qFormat/>
    <w:uiPriority w:val="0"/>
    <w:rPr>
      <w:kern w:val="2"/>
      <w:sz w:val="24"/>
      <w:szCs w:val="24"/>
    </w:rPr>
  </w:style>
  <w:style w:type="paragraph" w:customStyle="1" w:styleId="177">
    <w:name w:val="标书正文"/>
    <w:basedOn w:val="1"/>
    <w:link w:val="176"/>
    <w:qFormat/>
    <w:uiPriority w:val="0"/>
    <w:pPr>
      <w:spacing w:line="360" w:lineRule="auto"/>
      <w:ind w:firstLine="200" w:firstLineChars="200"/>
      <w:jc w:val="left"/>
    </w:pPr>
    <w:rPr>
      <w:sz w:val="24"/>
      <w:szCs w:val="24"/>
    </w:rPr>
  </w:style>
  <w:style w:type="character" w:customStyle="1" w:styleId="178">
    <w:name w:val="二级标题 Char Char"/>
    <w:link w:val="179"/>
    <w:qFormat/>
    <w:uiPriority w:val="0"/>
    <w:rPr>
      <w:rFonts w:ascii="宋体"/>
      <w:bCs/>
      <w:color w:val="000000"/>
      <w:sz w:val="24"/>
      <w:szCs w:val="24"/>
    </w:rPr>
  </w:style>
  <w:style w:type="paragraph" w:customStyle="1" w:styleId="179">
    <w:name w:val="二级标题"/>
    <w:basedOn w:val="1"/>
    <w:link w:val="178"/>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0">
    <w:name w:val="样式 标题 1b1章节标题章标题 1-*+h11st levelSection Headl1 + 四号 Char Char"/>
    <w:link w:val="181"/>
    <w:qFormat/>
    <w:uiPriority w:val="0"/>
    <w:rPr>
      <w:b/>
      <w:bCs/>
      <w:color w:val="000000"/>
      <w:kern w:val="44"/>
      <w:sz w:val="28"/>
      <w:szCs w:val="28"/>
    </w:rPr>
  </w:style>
  <w:style w:type="paragraph" w:customStyle="1" w:styleId="181">
    <w:name w:val="样式 标题 1b1章节标题章标题 1-*+h11st levelSection Headl1 + 四号"/>
    <w:basedOn w:val="182"/>
    <w:link w:val="180"/>
    <w:qFormat/>
    <w:uiPriority w:val="0"/>
    <w:pPr>
      <w:tabs>
        <w:tab w:val="left" w:leader="dot" w:pos="0"/>
        <w:tab w:val="left" w:pos="900"/>
      </w:tabs>
      <w:spacing w:before="0"/>
      <w:ind w:left="0" w:firstLine="0"/>
    </w:pPr>
    <w:rPr>
      <w:bCs/>
      <w:color w:val="000000"/>
      <w:szCs w:val="28"/>
    </w:rPr>
  </w:style>
  <w:style w:type="paragraph" w:customStyle="1" w:styleId="182">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3">
    <w:name w:val="YJB1 Char Char"/>
    <w:link w:val="184"/>
    <w:qFormat/>
    <w:uiPriority w:val="0"/>
    <w:rPr>
      <w:rFonts w:ascii="Arial" w:hAnsi="Arial"/>
      <w:kern w:val="2"/>
      <w:sz w:val="24"/>
      <w:szCs w:val="24"/>
    </w:rPr>
  </w:style>
  <w:style w:type="paragraph" w:customStyle="1" w:styleId="184">
    <w:name w:val="YJB1"/>
    <w:basedOn w:val="1"/>
    <w:link w:val="183"/>
    <w:qFormat/>
    <w:uiPriority w:val="0"/>
    <w:pPr>
      <w:spacing w:line="360" w:lineRule="auto"/>
      <w:ind w:left="450" w:leftChars="450"/>
    </w:pPr>
    <w:rPr>
      <w:rFonts w:ascii="Arial" w:hAnsi="Arial"/>
      <w:sz w:val="24"/>
      <w:szCs w:val="24"/>
    </w:rPr>
  </w:style>
  <w:style w:type="character" w:customStyle="1" w:styleId="185">
    <w:name w:val="YJB2 Char Char"/>
    <w:link w:val="186"/>
    <w:qFormat/>
    <w:uiPriority w:val="0"/>
    <w:rPr>
      <w:rFonts w:ascii="Arial" w:hAnsi="Arial"/>
      <w:kern w:val="2"/>
      <w:sz w:val="24"/>
      <w:szCs w:val="24"/>
    </w:rPr>
  </w:style>
  <w:style w:type="paragraph" w:customStyle="1" w:styleId="186">
    <w:name w:val="YJB2"/>
    <w:basedOn w:val="1"/>
    <w:link w:val="185"/>
    <w:qFormat/>
    <w:uiPriority w:val="0"/>
    <w:pPr>
      <w:spacing w:line="360" w:lineRule="auto"/>
      <w:ind w:left="450" w:hanging="450" w:hangingChars="450"/>
    </w:pPr>
    <w:rPr>
      <w:rFonts w:ascii="Arial" w:hAnsi="Arial"/>
      <w:sz w:val="24"/>
      <w:szCs w:val="24"/>
    </w:rPr>
  </w:style>
  <w:style w:type="character" w:customStyle="1" w:styleId="187">
    <w:name w:val="样式 标题 1章节标题 + 三号 Char Char"/>
    <w:link w:val="188"/>
    <w:qFormat/>
    <w:uiPriority w:val="0"/>
    <w:rPr>
      <w:b/>
      <w:bCs/>
      <w:kern w:val="44"/>
      <w:sz w:val="32"/>
      <w:szCs w:val="44"/>
    </w:rPr>
  </w:style>
  <w:style w:type="paragraph" w:customStyle="1" w:styleId="188">
    <w:name w:val="样式 标题 1章节标题 + 三号"/>
    <w:basedOn w:val="2"/>
    <w:link w:val="187"/>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89">
    <w:name w:val="正文文本缩进 22"/>
    <w:basedOn w:val="1"/>
    <w:qFormat/>
    <w:uiPriority w:val="0"/>
    <w:pPr>
      <w:ind w:firstLine="840"/>
    </w:pPr>
    <w:rPr>
      <w:kern w:val="0"/>
      <w:sz w:val="24"/>
      <w:lang w:val="zh-CN" w:eastAsia="zh-CN"/>
    </w:rPr>
  </w:style>
  <w:style w:type="paragraph" w:customStyle="1" w:styleId="190">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1">
    <w:name w:val="正文文本 3 字符"/>
    <w:basedOn w:val="50"/>
    <w:link w:val="19"/>
    <w:qFormat/>
    <w:uiPriority w:val="0"/>
    <w:rPr>
      <w:kern w:val="2"/>
      <w:sz w:val="16"/>
      <w:szCs w:val="16"/>
    </w:rPr>
  </w:style>
  <w:style w:type="character" w:customStyle="1" w:styleId="192">
    <w:name w:val="信息标题 字符"/>
    <w:basedOn w:val="50"/>
    <w:link w:val="41"/>
    <w:qFormat/>
    <w:uiPriority w:val="0"/>
    <w:rPr>
      <w:rFonts w:ascii="Arial" w:hAnsi="Arial"/>
      <w:spacing w:val="-5"/>
    </w:rPr>
  </w:style>
  <w:style w:type="paragraph" w:customStyle="1" w:styleId="193">
    <w:name w:val="日期2"/>
    <w:basedOn w:val="1"/>
    <w:next w:val="1"/>
    <w:qFormat/>
    <w:uiPriority w:val="0"/>
    <w:pPr>
      <w:adjustRightInd w:val="0"/>
      <w:spacing w:line="312" w:lineRule="atLeast"/>
      <w:textAlignment w:val="baseline"/>
    </w:pPr>
    <w:rPr>
      <w:kern w:val="0"/>
      <w:sz w:val="28"/>
      <w:szCs w:val="28"/>
    </w:rPr>
  </w:style>
  <w:style w:type="paragraph" w:customStyle="1" w:styleId="194">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5">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6">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99">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1">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2">
    <w:name w:val="Char2"/>
    <w:basedOn w:val="1"/>
    <w:qFormat/>
    <w:uiPriority w:val="0"/>
    <w:pPr>
      <w:adjustRightInd w:val="0"/>
      <w:spacing w:line="360" w:lineRule="atLeast"/>
    </w:pPr>
    <w:rPr>
      <w:szCs w:val="24"/>
    </w:rPr>
  </w:style>
  <w:style w:type="paragraph" w:customStyle="1" w:styleId="213">
    <w:name w:val="列出段落"/>
    <w:basedOn w:val="1"/>
    <w:qFormat/>
    <w:uiPriority w:val="0"/>
    <w:pPr>
      <w:ind w:firstLine="420" w:firstLineChars="200"/>
    </w:pPr>
    <w:rPr>
      <w:rFonts w:ascii="Calibri" w:hAnsi="Calibri"/>
      <w:szCs w:val="22"/>
    </w:rPr>
  </w:style>
  <w:style w:type="paragraph" w:customStyle="1" w:styleId="214">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5">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6">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7">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Char Char Char Char Char Char Char1"/>
    <w:basedOn w:val="1"/>
    <w:qFormat/>
    <w:uiPriority w:val="0"/>
    <w:rPr>
      <w:szCs w:val="24"/>
    </w:rPr>
  </w:style>
  <w:style w:type="paragraph" w:customStyle="1" w:styleId="220">
    <w:name w:val="Char Char Char Char Char Char Char Char Char1"/>
    <w:basedOn w:val="1"/>
    <w:qFormat/>
    <w:uiPriority w:val="0"/>
    <w:rPr>
      <w:szCs w:val="24"/>
    </w:rPr>
  </w:style>
  <w:style w:type="paragraph" w:customStyle="1" w:styleId="221">
    <w:name w:val="纯文本3"/>
    <w:basedOn w:val="1"/>
    <w:qFormat/>
    <w:uiPriority w:val="0"/>
    <w:pPr>
      <w:adjustRightInd w:val="0"/>
      <w:textAlignment w:val="baseline"/>
    </w:pPr>
    <w:rPr>
      <w:rFonts w:ascii="宋体" w:hAnsi="Courier New"/>
    </w:rPr>
  </w:style>
  <w:style w:type="paragraph" w:customStyle="1" w:styleId="222">
    <w:name w:val="样式20"/>
    <w:basedOn w:val="44"/>
    <w:next w:val="44"/>
    <w:qFormat/>
    <w:uiPriority w:val="0"/>
    <w:pPr>
      <w:spacing w:line="360" w:lineRule="auto"/>
      <w:jc w:val="both"/>
      <w:textAlignment w:val="auto"/>
    </w:pPr>
  </w:style>
  <w:style w:type="paragraph" w:customStyle="1" w:styleId="223">
    <w:name w:val="Char Char Char Char Char Char Char Char Char Char Char Char Char1"/>
    <w:basedOn w:val="1"/>
    <w:qFormat/>
    <w:uiPriority w:val="0"/>
    <w:rPr>
      <w:szCs w:val="24"/>
    </w:rPr>
  </w:style>
  <w:style w:type="paragraph" w:customStyle="1" w:styleId="224">
    <w:name w:val="Char1 Char Char Char1"/>
    <w:basedOn w:val="1"/>
    <w:semiHidden/>
    <w:qFormat/>
    <w:uiPriority w:val="0"/>
    <w:pPr>
      <w:snapToGrid w:val="0"/>
      <w:spacing w:line="440" w:lineRule="atLeast"/>
    </w:pPr>
    <w:rPr>
      <w:rFonts w:ascii="宋体"/>
      <w:sz w:val="24"/>
      <w:szCs w:val="24"/>
    </w:rPr>
  </w:style>
  <w:style w:type="paragraph" w:customStyle="1" w:styleId="225">
    <w:name w:val="*正文_0"/>
    <w:basedOn w:val="1"/>
    <w:next w:val="1"/>
    <w:qFormat/>
    <w:uiPriority w:val="0"/>
    <w:pPr>
      <w:widowControl/>
      <w:ind w:firstLine="482"/>
    </w:pPr>
    <w:rPr>
      <w:rFonts w:ascii="微软雅黑" w:hAnsi="微软雅黑" w:eastAsia="微软雅黑"/>
      <w:kern w:val="0"/>
    </w:rPr>
  </w:style>
  <w:style w:type="character" w:customStyle="1" w:styleId="226">
    <w:name w:val="font21"/>
    <w:qFormat/>
    <w:uiPriority w:val="0"/>
    <w:rPr>
      <w:rFonts w:hint="eastAsia" w:ascii="仿宋_GB2312" w:eastAsia="仿宋_GB2312"/>
      <w:color w:val="000000"/>
      <w:sz w:val="24"/>
      <w:szCs w:val="24"/>
      <w:u w:val="none"/>
    </w:rPr>
  </w:style>
  <w:style w:type="paragraph" w:customStyle="1" w:styleId="227">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36E6-A5EE-401E-A0AB-322F7A7475A6}">
  <ds:schemaRefs/>
</ds:datastoreItem>
</file>

<file path=docProps/app.xml><?xml version="1.0" encoding="utf-8"?>
<Properties xmlns="http://schemas.openxmlformats.org/officeDocument/2006/extended-properties" xmlns:vt="http://schemas.openxmlformats.org/officeDocument/2006/docPropsVTypes">
  <Template>Normal</Template>
  <Pages>25</Pages>
  <Words>9036</Words>
  <Characters>9654</Characters>
  <Lines>87</Lines>
  <Paragraphs>24</Paragraphs>
  <TotalTime>7</TotalTime>
  <ScaleCrop>false</ScaleCrop>
  <LinksUpToDate>false</LinksUpToDate>
  <CharactersWithSpaces>10533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2024-12-27T06:26:00Z</cp:lastPrinted>
  <dcterms:modified xsi:type="dcterms:W3CDTF">2026-03-19T06:19:20Z</dcterms:modified>
  <dc:title>一、标书制作要求：</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A642233F0224462EB3C76D1F4C5D0D7D_12</vt:lpwstr>
  </property>
</Properties>
</file>